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8"/>
      </w:tblGrid>
      <w:tr w:rsidR="00A45E83" w:rsidRPr="007326BD" w:rsidTr="00A45E83">
        <w:tc>
          <w:tcPr>
            <w:tcW w:w="8978" w:type="dxa"/>
          </w:tcPr>
          <w:p w:rsidR="00301134" w:rsidRPr="00B2492A" w:rsidRDefault="00301134" w:rsidP="00301134">
            <w:pPr>
              <w:spacing w:after="0" w:line="240" w:lineRule="auto"/>
              <w:jc w:val="center"/>
              <w:rPr>
                <w:rFonts w:ascii="Arial" w:hAnsi="Arial" w:cs="Arial"/>
                <w:b/>
                <w:sz w:val="24"/>
                <w:szCs w:val="28"/>
              </w:rPr>
            </w:pPr>
            <w:bookmarkStart w:id="0" w:name="_GoBack"/>
            <w:bookmarkEnd w:id="0"/>
            <w:r w:rsidRPr="00B2492A">
              <w:rPr>
                <w:rFonts w:ascii="Arial" w:hAnsi="Arial" w:cs="Arial"/>
                <w:b/>
                <w:sz w:val="24"/>
                <w:szCs w:val="28"/>
              </w:rPr>
              <w:t>NOTAS A LOS ESTADOS FINANCIEROS</w:t>
            </w:r>
          </w:p>
          <w:p w:rsidR="00301134" w:rsidRPr="00B2492A" w:rsidRDefault="00301134" w:rsidP="00301134">
            <w:pPr>
              <w:spacing w:after="0" w:line="240" w:lineRule="auto"/>
              <w:jc w:val="center"/>
              <w:rPr>
                <w:rFonts w:ascii="Arial" w:hAnsi="Arial" w:cs="Arial"/>
                <w:b/>
                <w:sz w:val="24"/>
                <w:szCs w:val="28"/>
              </w:rPr>
            </w:pPr>
            <w:r w:rsidRPr="00B2492A">
              <w:rPr>
                <w:rFonts w:ascii="Arial" w:hAnsi="Arial" w:cs="Arial"/>
                <w:b/>
                <w:sz w:val="24"/>
                <w:szCs w:val="28"/>
              </w:rPr>
              <w:t>DE DESGLOSE</w:t>
            </w:r>
          </w:p>
          <w:p w:rsidR="00D64D9B" w:rsidRPr="00D2268A" w:rsidRDefault="00AB199D" w:rsidP="00301134">
            <w:pPr>
              <w:spacing w:after="0" w:line="240" w:lineRule="auto"/>
              <w:jc w:val="center"/>
              <w:rPr>
                <w:rFonts w:ascii="Arial" w:hAnsi="Arial" w:cs="Arial"/>
                <w:b/>
                <w:i/>
                <w:szCs w:val="28"/>
              </w:rPr>
            </w:pPr>
            <w:bookmarkStart w:id="1" w:name="ente"/>
            <w:bookmarkEnd w:id="1"/>
            <w:r>
              <w:rPr>
                <w:rFonts w:ascii="Arial" w:hAnsi="Arial" w:cs="Arial"/>
                <w:b/>
                <w:i/>
                <w:szCs w:val="28"/>
              </w:rPr>
              <w:t>DIF Sistema para el Desarrollo Integral de la Familia del Municipio de Tepatitlán de Morelos DIF</w:t>
            </w:r>
            <w:r w:rsidR="00301134" w:rsidRPr="00D2268A">
              <w:rPr>
                <w:rFonts w:ascii="Arial" w:hAnsi="Arial" w:cs="Arial"/>
                <w:b/>
                <w:i/>
                <w:szCs w:val="28"/>
              </w:rPr>
              <w:t xml:space="preserve"> </w:t>
            </w:r>
          </w:p>
          <w:p w:rsidR="00A45E83" w:rsidRPr="007326BD" w:rsidRDefault="00A45E83" w:rsidP="00A45E83">
            <w:pPr>
              <w:spacing w:after="0" w:line="240" w:lineRule="auto"/>
              <w:jc w:val="center"/>
              <w:rPr>
                <w:rFonts w:ascii="Arial" w:hAnsi="Arial" w:cs="Arial"/>
                <w:sz w:val="28"/>
                <w:szCs w:val="28"/>
              </w:rPr>
            </w:pPr>
          </w:p>
          <w:p w:rsidR="00A45E83" w:rsidRPr="007326BD" w:rsidRDefault="008F6437" w:rsidP="00A45E83">
            <w:pPr>
              <w:spacing w:after="0" w:line="240" w:lineRule="auto"/>
              <w:jc w:val="center"/>
              <w:rPr>
                <w:rFonts w:ascii="Arial" w:hAnsi="Arial" w:cs="Arial"/>
                <w:sz w:val="28"/>
                <w:szCs w:val="28"/>
              </w:rPr>
            </w:pPr>
            <w:bookmarkStart w:id="2" w:name="periodo"/>
            <w:bookmarkEnd w:id="2"/>
            <w:r>
              <w:rPr>
                <w:rFonts w:ascii="Arial" w:hAnsi="Arial" w:cs="Arial"/>
                <w:sz w:val="28"/>
                <w:szCs w:val="28"/>
              </w:rPr>
              <w:t>AL 30 DE SEPTIEMBRE 2018</w:t>
            </w:r>
          </w:p>
        </w:tc>
      </w:tr>
    </w:tbl>
    <w:p w:rsidR="00806603" w:rsidRPr="007326BD" w:rsidRDefault="00806603" w:rsidP="00A45E83">
      <w:pPr>
        <w:spacing w:after="120" w:line="240" w:lineRule="auto"/>
        <w:rPr>
          <w:rFonts w:ascii="Arial" w:hAnsi="Arial" w:cs="Arial"/>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8"/>
      </w:tblGrid>
      <w:tr w:rsidR="00A45E83" w:rsidRPr="007326BD" w:rsidTr="00A45E83">
        <w:tc>
          <w:tcPr>
            <w:tcW w:w="8978" w:type="dxa"/>
          </w:tcPr>
          <w:p w:rsidR="00AB199D" w:rsidRDefault="00AB199D" w:rsidP="00AB199D">
            <w:pPr>
              <w:autoSpaceDE w:val="0"/>
              <w:autoSpaceDN w:val="0"/>
              <w:adjustRightInd w:val="0"/>
              <w:rPr>
                <w:rFonts w:ascii="Soberana Sans Light" w:hAnsi="Soberana Sans Light" w:cs="Soberana Sans Light"/>
                <w:color w:val="333333"/>
                <w:sz w:val="18"/>
                <w:szCs w:val="18"/>
                <w:lang w:val="es-ES" w:eastAsia="es-MX"/>
              </w:rPr>
            </w:pPr>
            <w:bookmarkStart w:id="3" w:name="cuerpo"/>
            <w:bookmarkEnd w:id="3"/>
            <w:r>
              <w:rPr>
                <w:rFonts w:ascii="Soberana Sans Light" w:hAnsi="Soberana Sans Light" w:cs="Soberana Sans Light"/>
                <w:b/>
                <w:bCs/>
                <w:sz w:val="18"/>
                <w:szCs w:val="18"/>
                <w:lang w:val="es-ES" w:eastAsia="es-MX"/>
              </w:rPr>
              <w:t xml:space="preserve">NOTAS A LOS ESTADOS FINANCIEROS DE DESGLOCE INTRODUCCIÓN </w:t>
            </w:r>
            <w:r>
              <w:rPr>
                <w:rFonts w:ascii="Soberana Sans Light" w:hAnsi="Soberana Sans Light" w:cs="Soberana Sans Light"/>
                <w:color w:val="333333"/>
                <w:sz w:val="18"/>
                <w:szCs w:val="18"/>
                <w:lang w:val="es-ES" w:eastAsia="es-MX"/>
              </w:rPr>
              <w:t xml:space="preserve">  De acuerdo con lo establecido en los artículos 46, 49 y 52 de la Ley General de Contabilidad Gubernamental (LGCG), los entes públicos deberán emitir en forma periódica estados financieros; así mismo, cuando algún rubro así lo requiera se deberá acompañar de notas a los estados financieros, con la finalidad de revelar y proporcionar información adicional y suficiente que amplié y dé significado a los datos contenidos en los estados financieros, los cuales serán la base para la emisión de Informes Periódicos y para la formulación de la Cuenta Pública Anual.   Aunado a lo anterior, se señala que los entes públicos deberán elaborar dichos estados de conformidad con las disposiciones normativas y técnicas que emanen de la Ley General de Contabilidad Gubernamental, o bien, aquellas que emita el Consejo Nacional de Armonización Contable (CONAC).</w:t>
            </w:r>
          </w:p>
          <w:p w:rsidR="00AB199D" w:rsidRDefault="00AB199D" w:rsidP="00AB199D">
            <w:pPr>
              <w:autoSpaceDE w:val="0"/>
              <w:autoSpaceDN w:val="0"/>
              <w:adjustRightInd w:val="0"/>
              <w:rPr>
                <w:rFonts w:ascii="Soberana Sans Light" w:hAnsi="Soberana Sans Light" w:cs="Soberana Sans Light"/>
                <w:color w:val="333333"/>
                <w:sz w:val="18"/>
                <w:szCs w:val="18"/>
                <w:lang w:val="es-ES" w:eastAsia="es-MX"/>
              </w:rPr>
            </w:pPr>
            <w:r>
              <w:rPr>
                <w:rFonts w:ascii="Soberana Sans Light" w:hAnsi="Soberana Sans Light" w:cs="Soberana Sans Light"/>
                <w:color w:val="333333"/>
                <w:sz w:val="18"/>
                <w:szCs w:val="18"/>
                <w:lang w:val="es-ES" w:eastAsia="es-MX"/>
              </w:rPr>
              <w:t xml:space="preserve">   Bajo este contexto, y con fundamento en los artículos 6, 7 y 9, fracción I de la Ley General de Contabilidad Gubernamental, el CONAC, en su calidad de órgano coordinador para la armonización de la contabilidad gubernamental, con fecha 22 de noviembre de 2010 publicó en el Diario Oficial de la Federación (DOF) el “Acuerdo por el que se emite el Manual de Contabilidad Gubernamental”, estableciendo en el capítulo VII del propio manual las “Normas y metodología para la emisión de información financiera y estructura de los estados financieros básicos y características de sus notas”, que deberán adoptar e implementar los entes públicos para la emisión de Informes Periódicos y la Cuenta Pública Anual, incluidos los Poderes Legislativo y Judicial.   Asimismo, derivado del proceso de implementación y del análisis a la normativa emitida, el CONAC, con fecha 30 de diciembre de 2013 publicó en el DOF el “Acuerdo que reforma los capítulos III y VII del Manual de Contabilidad Gubernamental”, realizando diversas modificaciones, adiciones y mejoras a los estados financieros básicos que se presentan en el Manual de Contabilidad Gubernamental.    Adicionalmente, en la misma fecha, publicó en el DOF el “Acuerdo por el que se armoniza la estructura de las cuentas públicas”, con el objeto de armonizar la estructura de la Cuenta Pública que presenta el Gobierno Federal, el Gobierno Estatal o del Distrito Federal y el Gobierno Municipal. De la misma se integra la Ley de </w:t>
            </w:r>
            <w:proofErr w:type="spellStart"/>
            <w:r>
              <w:rPr>
                <w:rFonts w:ascii="Soberana Sans Light" w:hAnsi="Soberana Sans Light" w:cs="Soberana Sans Light"/>
                <w:color w:val="333333"/>
                <w:sz w:val="18"/>
                <w:szCs w:val="18"/>
                <w:lang w:val="es-ES" w:eastAsia="es-MX"/>
              </w:rPr>
              <w:t>Diciplina</w:t>
            </w:r>
            <w:proofErr w:type="spellEnd"/>
            <w:r>
              <w:rPr>
                <w:rFonts w:ascii="Soberana Sans Light" w:hAnsi="Soberana Sans Light" w:cs="Soberana Sans Light"/>
                <w:color w:val="333333"/>
                <w:sz w:val="18"/>
                <w:szCs w:val="18"/>
                <w:lang w:val="es-ES" w:eastAsia="es-MX"/>
              </w:rPr>
              <w:t xml:space="preserve"> Financiera que entro en </w:t>
            </w:r>
            <w:proofErr w:type="spellStart"/>
            <w:r>
              <w:rPr>
                <w:rFonts w:ascii="Soberana Sans Light" w:hAnsi="Soberana Sans Light" w:cs="Soberana Sans Light"/>
                <w:color w:val="333333"/>
                <w:sz w:val="18"/>
                <w:szCs w:val="18"/>
                <w:lang w:val="es-ES" w:eastAsia="es-MX"/>
              </w:rPr>
              <w:t>vigo</w:t>
            </w:r>
            <w:proofErr w:type="spellEnd"/>
            <w:r>
              <w:rPr>
                <w:rFonts w:ascii="Soberana Sans Light" w:hAnsi="Soberana Sans Light" w:cs="Soberana Sans Light"/>
                <w:color w:val="333333"/>
                <w:sz w:val="18"/>
                <w:szCs w:val="18"/>
                <w:lang w:val="es-ES" w:eastAsia="es-MX"/>
              </w:rPr>
              <w:t xml:space="preserve"> el 27 de abril del año 2016 y se </w:t>
            </w:r>
            <w:proofErr w:type="spellStart"/>
            <w:r>
              <w:rPr>
                <w:rFonts w:ascii="Soberana Sans Light" w:hAnsi="Soberana Sans Light" w:cs="Soberana Sans Light"/>
                <w:color w:val="333333"/>
                <w:sz w:val="18"/>
                <w:szCs w:val="18"/>
                <w:lang w:val="es-ES" w:eastAsia="es-MX"/>
              </w:rPr>
              <w:t>intreran</w:t>
            </w:r>
            <w:proofErr w:type="spellEnd"/>
            <w:r>
              <w:rPr>
                <w:rFonts w:ascii="Soberana Sans Light" w:hAnsi="Soberana Sans Light" w:cs="Soberana Sans Light"/>
                <w:color w:val="333333"/>
                <w:sz w:val="18"/>
                <w:szCs w:val="18"/>
                <w:lang w:val="es-ES" w:eastAsia="es-MX"/>
              </w:rPr>
              <w:t xml:space="preserve"> los Entes </w:t>
            </w:r>
            <w:proofErr w:type="spellStart"/>
            <w:r>
              <w:rPr>
                <w:rFonts w:ascii="Soberana Sans Light" w:hAnsi="Soberana Sans Light" w:cs="Soberana Sans Light"/>
                <w:color w:val="333333"/>
                <w:sz w:val="18"/>
                <w:szCs w:val="18"/>
                <w:lang w:val="es-ES" w:eastAsia="es-MX"/>
              </w:rPr>
              <w:t>publicos</w:t>
            </w:r>
            <w:proofErr w:type="spellEnd"/>
            <w:r>
              <w:rPr>
                <w:rFonts w:ascii="Soberana Sans Light" w:hAnsi="Soberana Sans Light" w:cs="Soberana Sans Light"/>
                <w:color w:val="333333"/>
                <w:sz w:val="18"/>
                <w:szCs w:val="18"/>
                <w:lang w:val="es-ES" w:eastAsia="es-MX"/>
              </w:rPr>
              <w:t xml:space="preserve"> de los Municipio el </w:t>
            </w:r>
            <w:proofErr w:type="spellStart"/>
            <w:r>
              <w:rPr>
                <w:rFonts w:ascii="Soberana Sans Light" w:hAnsi="Soberana Sans Light" w:cs="Soberana Sans Light"/>
                <w:color w:val="333333"/>
                <w:sz w:val="18"/>
                <w:szCs w:val="18"/>
                <w:lang w:val="es-ES" w:eastAsia="es-MX"/>
              </w:rPr>
              <w:t>cuel</w:t>
            </w:r>
            <w:proofErr w:type="spellEnd"/>
            <w:r>
              <w:rPr>
                <w:rFonts w:ascii="Soberana Sans Light" w:hAnsi="Soberana Sans Light" w:cs="Soberana Sans Light"/>
                <w:color w:val="333333"/>
                <w:sz w:val="18"/>
                <w:szCs w:val="18"/>
                <w:lang w:val="es-ES" w:eastAsia="es-MX"/>
              </w:rPr>
              <w:t xml:space="preserve"> establece los lineamientos en Materia de Presupuesto, Endeudamiento, Transparencia y </w:t>
            </w:r>
            <w:proofErr w:type="spellStart"/>
            <w:r>
              <w:rPr>
                <w:rFonts w:ascii="Soberana Sans Light" w:hAnsi="Soberana Sans Light" w:cs="Soberana Sans Light"/>
                <w:color w:val="333333"/>
                <w:sz w:val="18"/>
                <w:szCs w:val="18"/>
                <w:lang w:val="es-ES" w:eastAsia="es-MX"/>
              </w:rPr>
              <w:t>Rendicion</w:t>
            </w:r>
            <w:proofErr w:type="spellEnd"/>
            <w:r>
              <w:rPr>
                <w:rFonts w:ascii="Soberana Sans Light" w:hAnsi="Soberana Sans Light" w:cs="Soberana Sans Light"/>
                <w:color w:val="333333"/>
                <w:sz w:val="18"/>
                <w:szCs w:val="18"/>
                <w:lang w:val="es-ES" w:eastAsia="es-MX"/>
              </w:rPr>
              <w:t xml:space="preserve"> de Cuentas para la </w:t>
            </w:r>
            <w:proofErr w:type="spellStart"/>
            <w:r>
              <w:rPr>
                <w:rFonts w:ascii="Soberana Sans Light" w:hAnsi="Soberana Sans Light" w:cs="Soberana Sans Light"/>
                <w:color w:val="333333"/>
                <w:sz w:val="18"/>
                <w:szCs w:val="18"/>
                <w:lang w:val="es-ES" w:eastAsia="es-MX"/>
              </w:rPr>
              <w:t>Presupuestacion</w:t>
            </w:r>
            <w:proofErr w:type="spellEnd"/>
            <w:r>
              <w:rPr>
                <w:rFonts w:ascii="Soberana Sans Light" w:hAnsi="Soberana Sans Light" w:cs="Soberana Sans Light"/>
                <w:color w:val="333333"/>
                <w:sz w:val="18"/>
                <w:szCs w:val="18"/>
                <w:lang w:val="es-ES" w:eastAsia="es-MX"/>
              </w:rPr>
              <w:t xml:space="preserve"> y Ejercicio de los Ingresos y Gastos.</w:t>
            </w:r>
          </w:p>
          <w:p w:rsidR="00AB199D" w:rsidRDefault="00AB199D" w:rsidP="00AB199D">
            <w:pPr>
              <w:autoSpaceDE w:val="0"/>
              <w:autoSpaceDN w:val="0"/>
              <w:adjustRightInd w:val="0"/>
              <w:rPr>
                <w:rFonts w:ascii="Soberana Sans Light" w:hAnsi="Soberana Sans Light" w:cs="Soberana Sans Light"/>
                <w:color w:val="333333"/>
                <w:sz w:val="18"/>
                <w:szCs w:val="18"/>
                <w:lang w:val="es-ES" w:eastAsia="es-MX"/>
              </w:rPr>
            </w:pPr>
            <w:r>
              <w:rPr>
                <w:rFonts w:ascii="Soberana Sans Light" w:hAnsi="Soberana Sans Light" w:cs="Soberana Sans Light"/>
                <w:color w:val="333333"/>
                <w:sz w:val="18"/>
                <w:szCs w:val="18"/>
                <w:lang w:val="es-ES" w:eastAsia="es-MX"/>
              </w:rPr>
              <w:t xml:space="preserve">     Al respecto, cabe destacar que derivado de los Acuerdos antes señalados, el formato de los estados financieros e información contable, establecidos en el capítulo VII del Manual de Contabilidad Gubernamental se modifica, así mismo, se adiciona el apartado i) “Estado de Cambios en la Situación Financiera”, para su debida armonización con respecto a la información contable a que se hace referencia en el artículo 46, fracción I de la Ley General de Contabilidad, así mismo con la información referente a la Cuenta Pública señalada en el artículo 53 fracción I de la Ley General de Contabilidad Gubernamental, para quedar como sigue:          a) Estado de Situación Financiera;          b) Estado de </w:t>
            </w:r>
            <w:r>
              <w:rPr>
                <w:rFonts w:ascii="Soberana Sans Light" w:hAnsi="Soberana Sans Light" w:cs="Soberana Sans Light"/>
                <w:color w:val="333333"/>
                <w:sz w:val="18"/>
                <w:szCs w:val="18"/>
                <w:lang w:val="es-ES" w:eastAsia="es-MX"/>
              </w:rPr>
              <w:lastRenderedPageBreak/>
              <w:t xml:space="preserve">Actividades;          c) Estado de Variación en la Hacienda Pública;          d) Estado de Flujos de Efectivo;          e) Estado Analítico del Activo;          f) Estado Analítico de la Deuda y Otros Pasivos;          g) Informe sobre Pasivos Contingentes y;          h) Notas a los Estados Financieros;           i) Estado de Cambios en la Situación Financiera.    En lo concerniente a las Notas a los Estados Financieros señaladas en el inciso h) antes referido, las características y tipos de notas que deberán acompañar a los estados financieros, son las que se describen a continuación:        - Notas de desglose;        - Notas de memoria (cuentas de orden); y         - Notas de gestión administrativa.   En razón de lo anteriormente expuesto, para el debido cumplimiento a los preceptos normativos antes señalados, se emiten los estados financieros citados, así como las respectivas notas que los acompañan, elaborados conforme al formato, estructura y requerimientos técnicos establecidos por el CONAC, donde se muestra la situación financiera y el resultado de la gestión financiera y presupuestaria al 31 de diciembre de 2017, del DIF Sistema para el Desarrollo Integral de la Familia del Municipio de Tepatitlán de Morelos, Jalisco. </w:t>
            </w:r>
          </w:p>
          <w:p w:rsidR="00AB199D" w:rsidRDefault="00AB199D" w:rsidP="00AB199D">
            <w:pPr>
              <w:autoSpaceDE w:val="0"/>
              <w:autoSpaceDN w:val="0"/>
              <w:adjustRightInd w:val="0"/>
              <w:rPr>
                <w:rFonts w:ascii="Soberana Sans Light" w:hAnsi="Soberana Sans Light" w:cs="Soberana Sans Light"/>
                <w:color w:val="333333"/>
                <w:sz w:val="18"/>
                <w:szCs w:val="18"/>
                <w:lang w:val="es-ES" w:eastAsia="es-MX"/>
              </w:rPr>
            </w:pPr>
            <w:r>
              <w:rPr>
                <w:rFonts w:ascii="Soberana Sans Light" w:hAnsi="Soberana Sans Light" w:cs="Soberana Sans Light"/>
                <w:color w:val="333333"/>
                <w:sz w:val="18"/>
                <w:szCs w:val="18"/>
                <w:lang w:val="es-ES" w:eastAsia="es-MX"/>
              </w:rPr>
              <w:t xml:space="preserve">  </w:t>
            </w:r>
            <w:r>
              <w:rPr>
                <w:rFonts w:ascii="Soberana Sans Light" w:hAnsi="Soberana Sans Light" w:cs="Soberana Sans Light"/>
                <w:b/>
                <w:bCs/>
                <w:color w:val="333333"/>
                <w:sz w:val="18"/>
                <w:szCs w:val="18"/>
                <w:lang w:val="es-ES" w:eastAsia="es-MX"/>
              </w:rPr>
              <w:t xml:space="preserve">NOTAS A LOS ESTADOS FINANCIEROS 1° de enero al </w:t>
            </w:r>
            <w:r w:rsidR="00E43250">
              <w:rPr>
                <w:rFonts w:ascii="Soberana Sans Light" w:hAnsi="Soberana Sans Light" w:cs="Soberana Sans Light"/>
                <w:b/>
                <w:bCs/>
                <w:color w:val="333333"/>
                <w:sz w:val="18"/>
                <w:szCs w:val="18"/>
                <w:lang w:val="es-ES" w:eastAsia="es-MX"/>
              </w:rPr>
              <w:t>30 de septiembre del 2018</w:t>
            </w:r>
            <w:r>
              <w:rPr>
                <w:rFonts w:ascii="Soberana Sans Light" w:hAnsi="Soberana Sans Light" w:cs="Soberana Sans Light"/>
                <w:b/>
                <w:bCs/>
                <w:color w:val="333333"/>
                <w:sz w:val="18"/>
                <w:szCs w:val="18"/>
                <w:lang w:val="es-ES" w:eastAsia="es-MX"/>
              </w:rPr>
              <w:t xml:space="preserve"> (Pesos) </w:t>
            </w:r>
            <w:r>
              <w:rPr>
                <w:rFonts w:ascii="Soberana Sans Light" w:hAnsi="Soberana Sans Light" w:cs="Soberana Sans Light"/>
                <w:color w:val="333333"/>
                <w:sz w:val="18"/>
                <w:szCs w:val="18"/>
                <w:lang w:val="es-ES" w:eastAsia="es-MX"/>
              </w:rPr>
              <w:t xml:space="preserve">  Cabe hacer la pertinente aclaración, que en la práctica es común que las notas a los estados financieros se inicien con la presentación del ente en cuestión, con la finalidad de conocer su origen, actividad preponderante, así como el contexto en que se desarrollan sus operaciones, con la finalidad de lograr una mayor comprensión del ente y sus particularidades que sin duda alguna influyen en la toma de decisiones.   Por tal motivo, dado que esta situación se encuentra prevista en las notas relativas a la gestión administrativa, para efectos prácticos se inicia con las siguientes: </w:t>
            </w:r>
          </w:p>
          <w:p w:rsidR="00AB199D" w:rsidRDefault="00AB199D" w:rsidP="00AB199D">
            <w:pPr>
              <w:autoSpaceDE w:val="0"/>
              <w:autoSpaceDN w:val="0"/>
              <w:adjustRightInd w:val="0"/>
              <w:rPr>
                <w:rFonts w:ascii="Soberana Sans Light" w:hAnsi="Soberana Sans Light" w:cs="Soberana Sans Light"/>
                <w:color w:val="333333"/>
                <w:sz w:val="18"/>
                <w:szCs w:val="18"/>
                <w:lang w:val="es-ES" w:eastAsia="es-MX"/>
              </w:rPr>
            </w:pPr>
            <w:r>
              <w:rPr>
                <w:rFonts w:ascii="Soberana Sans Light" w:hAnsi="Soberana Sans Light" w:cs="Soberana Sans Light"/>
                <w:b/>
                <w:bCs/>
                <w:color w:val="333333"/>
                <w:sz w:val="18"/>
                <w:szCs w:val="18"/>
                <w:lang w:val="es-ES" w:eastAsia="es-MX"/>
              </w:rPr>
              <w:t xml:space="preserve">1) NOTAS DE GESTIÓN ADMINISTRATIVA 1.1 Autorización e Historia. </w:t>
            </w:r>
            <w:r>
              <w:rPr>
                <w:rFonts w:ascii="Soberana Sans Light" w:hAnsi="Soberana Sans Light" w:cs="Soberana Sans Light"/>
                <w:color w:val="333333"/>
                <w:sz w:val="18"/>
                <w:szCs w:val="18"/>
                <w:lang w:val="es-ES" w:eastAsia="es-MX"/>
              </w:rPr>
              <w:t xml:space="preserve">  El Sistema Nacional para el Desarrollo Integral de la Familia (SNDIF o solo DIF) es una institución pública mexicana de asistencia social fundada en 1977, que se enfoca en desarrollar el bienestar de las familias mexicanas. La institución fue fundada por Carmen Romano, esposa del presidente José López Portillo. </w:t>
            </w:r>
            <w:r>
              <w:rPr>
                <w:rFonts w:ascii="Soberana Sans Light" w:hAnsi="Soberana Sans Light" w:cs="Soberana Sans Light"/>
                <w:b/>
                <w:bCs/>
                <w:color w:val="333333"/>
                <w:sz w:val="18"/>
                <w:szCs w:val="18"/>
                <w:lang w:val="es-ES" w:eastAsia="es-MX"/>
              </w:rPr>
              <w:t xml:space="preserve">1.2 Organización y Objeto Social. </w:t>
            </w:r>
            <w:r>
              <w:rPr>
                <w:rFonts w:ascii="Soberana Sans Light" w:hAnsi="Soberana Sans Light" w:cs="Soberana Sans Light"/>
                <w:color w:val="333333"/>
                <w:sz w:val="18"/>
                <w:szCs w:val="18"/>
                <w:lang w:val="es-ES" w:eastAsia="es-MX"/>
              </w:rPr>
              <w:t xml:space="preserve">  Para el ejercicio de sus atribuciones, el DIF Sistema para el Desarrollo Integral de la Familia del Municipio de Tepatitlán de Morelos, Jalisco funcionará en forma permanente con patronato en conjunto con la presidencia municipal del mismo municipio, además contará con el personal jurídico y administrativo necesario para su adecuado funcionamiento. </w:t>
            </w:r>
            <w:r>
              <w:rPr>
                <w:rFonts w:ascii="Soberana Sans Light" w:hAnsi="Soberana Sans Light" w:cs="Soberana Sans Light"/>
                <w:b/>
                <w:bCs/>
                <w:color w:val="333333"/>
                <w:sz w:val="18"/>
                <w:szCs w:val="18"/>
                <w:lang w:val="es-ES" w:eastAsia="es-MX"/>
              </w:rPr>
              <w:t xml:space="preserve">1.3 Estructura orgánica básica. </w:t>
            </w:r>
            <w:r>
              <w:rPr>
                <w:rFonts w:ascii="Soberana Sans Light" w:hAnsi="Soberana Sans Light" w:cs="Soberana Sans Light"/>
                <w:color w:val="333333"/>
                <w:sz w:val="18"/>
                <w:szCs w:val="18"/>
                <w:lang w:val="es-ES" w:eastAsia="es-MX"/>
              </w:rPr>
              <w:t xml:space="preserve">  La estructura orgánica del DIF Sistema para el Desarrollo Integral de la Familia del Municipio de Tepatitlán de Morelos, Jalisco proviene de su Reglamento Interno, así como de los acuerdos emitidos por los órganos facultados para ello; con esto se busca fortalecer su funcionamiento, </w:t>
            </w:r>
            <w:proofErr w:type="spellStart"/>
            <w:r>
              <w:rPr>
                <w:rFonts w:ascii="Soberana Sans Light" w:hAnsi="Soberana Sans Light" w:cs="Soberana Sans Light"/>
                <w:color w:val="333333"/>
                <w:sz w:val="18"/>
                <w:szCs w:val="18"/>
                <w:lang w:val="es-ES" w:eastAsia="es-MX"/>
              </w:rPr>
              <w:t>ademas</w:t>
            </w:r>
            <w:proofErr w:type="spellEnd"/>
            <w:r>
              <w:rPr>
                <w:rFonts w:ascii="Soberana Sans Light" w:hAnsi="Soberana Sans Light" w:cs="Soberana Sans Light"/>
                <w:color w:val="333333"/>
                <w:sz w:val="18"/>
                <w:szCs w:val="18"/>
                <w:lang w:val="es-ES" w:eastAsia="es-MX"/>
              </w:rPr>
              <w:t xml:space="preserve"> de instituirlo  como el </w:t>
            </w:r>
            <w:proofErr w:type="spellStart"/>
            <w:r>
              <w:rPr>
                <w:rFonts w:ascii="Soberana Sans Light" w:hAnsi="Soberana Sans Light" w:cs="Soberana Sans Light"/>
                <w:color w:val="333333"/>
                <w:sz w:val="18"/>
                <w:szCs w:val="18"/>
                <w:lang w:val="es-ES" w:eastAsia="es-MX"/>
              </w:rPr>
              <w:t>organo</w:t>
            </w:r>
            <w:proofErr w:type="spellEnd"/>
            <w:r>
              <w:rPr>
                <w:rFonts w:ascii="Soberana Sans Light" w:hAnsi="Soberana Sans Light" w:cs="Soberana Sans Light"/>
                <w:color w:val="333333"/>
                <w:sz w:val="18"/>
                <w:szCs w:val="18"/>
                <w:lang w:val="es-ES" w:eastAsia="es-MX"/>
              </w:rPr>
              <w:t xml:space="preserve"> especializado                                                                                                                                                                                                                                                         </w:t>
            </w:r>
          </w:p>
          <w:p w:rsidR="00AB199D" w:rsidRDefault="00AB199D" w:rsidP="00AB199D">
            <w:pPr>
              <w:autoSpaceDE w:val="0"/>
              <w:autoSpaceDN w:val="0"/>
              <w:adjustRightInd w:val="0"/>
              <w:rPr>
                <w:rFonts w:ascii="Soberana Sans Light" w:hAnsi="Soberana Sans Light" w:cs="Soberana Sans Light"/>
                <w:color w:val="333333"/>
                <w:sz w:val="18"/>
                <w:szCs w:val="18"/>
                <w:lang w:val="es-ES" w:eastAsia="es-MX"/>
              </w:rPr>
            </w:pPr>
            <w:r>
              <w:rPr>
                <w:rFonts w:ascii="Soberana Sans Light" w:hAnsi="Soberana Sans Light" w:cs="Soberana Sans Light"/>
                <w:b/>
                <w:bCs/>
                <w:noProof/>
                <w:color w:val="333333"/>
                <w:sz w:val="14"/>
                <w:szCs w:val="14"/>
                <w:lang w:val="es-ES" w:eastAsia="es-MX"/>
              </w:rPr>
              <w:t xml:space="preserve">            </w:t>
            </w:r>
            <w:r>
              <w:rPr>
                <w:rFonts w:ascii="Soberana Sans Light" w:hAnsi="Soberana Sans Light" w:cs="Soberana Sans Light"/>
                <w:b/>
                <w:bCs/>
                <w:color w:val="333333"/>
                <w:sz w:val="14"/>
                <w:szCs w:val="14"/>
                <w:lang w:val="es-ES" w:eastAsia="es-MX"/>
              </w:rPr>
              <w:t xml:space="preserve">         </w:t>
            </w:r>
            <w:r>
              <w:rPr>
                <w:rFonts w:ascii="Soberana Sans Light" w:hAnsi="Soberana Sans Light" w:cs="Soberana Sans Light"/>
                <w:b/>
                <w:bCs/>
                <w:color w:val="333333"/>
                <w:sz w:val="18"/>
                <w:szCs w:val="18"/>
                <w:lang w:val="es-ES" w:eastAsia="es-MX"/>
              </w:rPr>
              <w:t xml:space="preserve">1.3.1 Descripción general de la estructura orgánica básica. </w:t>
            </w:r>
            <w:r>
              <w:rPr>
                <w:rFonts w:ascii="Soberana Sans Light" w:hAnsi="Soberana Sans Light" w:cs="Soberana Sans Light"/>
                <w:color w:val="333333"/>
                <w:sz w:val="18"/>
                <w:szCs w:val="18"/>
                <w:lang w:val="es-ES" w:eastAsia="es-MX"/>
              </w:rPr>
              <w:t xml:space="preserve">  La Estructura Orgánica Básica del el DIF Sistema para el Desarrollo Integral de la Familia del Municipio de Tepatitlán de Morelos, Jalisco, tiene una conformación organizacional descendente.   Su diseño, busca identificar las áreas de atención prioritarias para el municipio, las áreas de apoyo técnico a la función organizacional, y las áreas de carácter administrativo; que de manera conjunta contribuyen al cumplimiento del mandato constitucional que le ha sido conferido. </w:t>
            </w:r>
            <w:r>
              <w:rPr>
                <w:rFonts w:ascii="Soberana Sans Light" w:hAnsi="Soberana Sans Light" w:cs="Soberana Sans Light"/>
                <w:b/>
                <w:bCs/>
                <w:color w:val="333333"/>
                <w:sz w:val="18"/>
                <w:szCs w:val="18"/>
                <w:lang w:val="es-ES" w:eastAsia="es-MX"/>
              </w:rPr>
              <w:t xml:space="preserve">1.3.2 Áreas Jurisdiccionales. </w:t>
            </w:r>
            <w:r>
              <w:rPr>
                <w:rFonts w:ascii="Soberana Sans Light" w:hAnsi="Soberana Sans Light" w:cs="Soberana Sans Light"/>
                <w:color w:val="333333"/>
                <w:sz w:val="18"/>
                <w:szCs w:val="18"/>
                <w:lang w:val="es-ES" w:eastAsia="es-MX"/>
              </w:rPr>
              <w:t xml:space="preserve">  El DIF Sistema para el Desarrollo Integral de la Familia del Municipio de Tepatitlán de Morelos, Jalisco se encuentra constituido por un Patronato, Presidencia Municipal, Dirección, Administración y Comunicación Social.     El Patronato está integrado de la siguiente forma: </w:t>
            </w:r>
            <w:r>
              <w:rPr>
                <w:rFonts w:ascii="Symbol" w:hAnsi="Symbol" w:cs="Symbol"/>
                <w:color w:val="333333"/>
                <w:sz w:val="20"/>
                <w:szCs w:val="20"/>
                <w:lang w:val="es-ES" w:eastAsia="es-MX"/>
              </w:rPr>
              <w:t></w:t>
            </w:r>
            <w:r>
              <w:rPr>
                <w:rFonts w:ascii="Symbol" w:hAnsi="Symbol" w:cs="Symbol"/>
                <w:color w:val="333333"/>
                <w:sz w:val="20"/>
                <w:szCs w:val="20"/>
                <w:lang w:val="es-ES" w:eastAsia="es-MX"/>
              </w:rPr>
              <w:t></w:t>
            </w:r>
            <w:r>
              <w:rPr>
                <w:rFonts w:ascii="Soberana Sans Light" w:hAnsi="Soberana Sans Light" w:cs="Soberana Sans Light"/>
                <w:color w:val="333333"/>
                <w:sz w:val="18"/>
                <w:szCs w:val="18"/>
                <w:lang w:val="es-ES" w:eastAsia="es-MX"/>
              </w:rPr>
              <w:t xml:space="preserve">L.T. Erika Bravo </w:t>
            </w:r>
            <w:proofErr w:type="spellStart"/>
            <w:r>
              <w:rPr>
                <w:rFonts w:ascii="Soberana Sans Light" w:hAnsi="Soberana Sans Light" w:cs="Soberana Sans Light"/>
                <w:color w:val="333333"/>
                <w:sz w:val="18"/>
                <w:szCs w:val="18"/>
                <w:lang w:val="es-ES" w:eastAsia="es-MX"/>
              </w:rPr>
              <w:t>Hernández</w:t>
            </w:r>
            <w:proofErr w:type="gramStart"/>
            <w:r>
              <w:rPr>
                <w:rFonts w:ascii="Soberana Sans Light" w:hAnsi="Soberana Sans Light" w:cs="Soberana Sans Light"/>
                <w:color w:val="333333"/>
                <w:sz w:val="18"/>
                <w:szCs w:val="18"/>
                <w:lang w:val="es-ES" w:eastAsia="es-MX"/>
              </w:rPr>
              <w:t>,Presidenta</w:t>
            </w:r>
            <w:proofErr w:type="spellEnd"/>
            <w:proofErr w:type="gramEnd"/>
            <w:r>
              <w:rPr>
                <w:rFonts w:ascii="Soberana Sans Light" w:hAnsi="Soberana Sans Light" w:cs="Soberana Sans Light"/>
                <w:color w:val="333333"/>
                <w:sz w:val="18"/>
                <w:szCs w:val="18"/>
                <w:lang w:val="es-ES" w:eastAsia="es-MX"/>
              </w:rPr>
              <w:t xml:space="preserve"> del Patronato, </w:t>
            </w:r>
            <w:r>
              <w:rPr>
                <w:rFonts w:ascii="Symbol" w:hAnsi="Symbol" w:cs="Symbol"/>
                <w:color w:val="333333"/>
                <w:sz w:val="20"/>
                <w:szCs w:val="20"/>
                <w:lang w:val="es-ES" w:eastAsia="es-MX"/>
              </w:rPr>
              <w:t></w:t>
            </w:r>
            <w:r>
              <w:rPr>
                <w:rFonts w:ascii="Symbol" w:hAnsi="Symbol" w:cs="Symbol"/>
                <w:color w:val="333333"/>
                <w:sz w:val="20"/>
                <w:szCs w:val="20"/>
                <w:lang w:val="es-ES" w:eastAsia="es-MX"/>
              </w:rPr>
              <w:t></w:t>
            </w:r>
            <w:r>
              <w:rPr>
                <w:rFonts w:ascii="Soberana Sans Light" w:hAnsi="Soberana Sans Light" w:cs="Soberana Sans Light"/>
                <w:color w:val="333333"/>
                <w:sz w:val="18"/>
                <w:szCs w:val="18"/>
                <w:lang w:val="es-ES" w:eastAsia="es-MX"/>
              </w:rPr>
              <w:t xml:space="preserve">M.C.F. Norma Patricia Venegas </w:t>
            </w:r>
            <w:proofErr w:type="spellStart"/>
            <w:r>
              <w:rPr>
                <w:rFonts w:ascii="Soberana Sans Light" w:hAnsi="Soberana Sans Light" w:cs="Soberana Sans Light"/>
                <w:color w:val="333333"/>
                <w:sz w:val="18"/>
                <w:szCs w:val="18"/>
                <w:lang w:val="es-ES" w:eastAsia="es-MX"/>
              </w:rPr>
              <w:lastRenderedPageBreak/>
              <w:t>Plascencia,Directora</w:t>
            </w:r>
            <w:proofErr w:type="spellEnd"/>
            <w:r>
              <w:rPr>
                <w:rFonts w:ascii="Soberana Sans Light" w:hAnsi="Soberana Sans Light" w:cs="Soberana Sans Light"/>
                <w:color w:val="333333"/>
                <w:sz w:val="18"/>
                <w:szCs w:val="18"/>
                <w:lang w:val="es-ES" w:eastAsia="es-MX"/>
              </w:rPr>
              <w:t xml:space="preserve"> General y Secretario Ejecutivo del Patronato. </w:t>
            </w:r>
            <w:r>
              <w:rPr>
                <w:rFonts w:ascii="Symbol" w:hAnsi="Symbol" w:cs="Symbol"/>
                <w:color w:val="333333"/>
                <w:sz w:val="20"/>
                <w:szCs w:val="20"/>
                <w:lang w:val="es-ES" w:eastAsia="es-MX"/>
              </w:rPr>
              <w:t></w:t>
            </w:r>
            <w:r>
              <w:rPr>
                <w:rFonts w:ascii="Symbol" w:hAnsi="Symbol" w:cs="Symbol"/>
                <w:color w:val="333333"/>
                <w:sz w:val="20"/>
                <w:szCs w:val="20"/>
                <w:lang w:val="es-ES" w:eastAsia="es-MX"/>
              </w:rPr>
              <w:t></w:t>
            </w:r>
            <w:r>
              <w:rPr>
                <w:rFonts w:ascii="Soberana Sans Light" w:hAnsi="Soberana Sans Light" w:cs="Soberana Sans Light"/>
                <w:color w:val="333333"/>
                <w:sz w:val="18"/>
                <w:szCs w:val="18"/>
                <w:lang w:val="es-ES" w:eastAsia="es-MX"/>
              </w:rPr>
              <w:t xml:space="preserve">Lic. Lucia Lorena López Villalobos, Secretario General y Vocal de Patronato, </w:t>
            </w:r>
            <w:r>
              <w:rPr>
                <w:rFonts w:ascii="Symbol" w:hAnsi="Symbol" w:cs="Symbol"/>
                <w:color w:val="333333"/>
                <w:sz w:val="20"/>
                <w:szCs w:val="20"/>
                <w:lang w:val="es-ES" w:eastAsia="es-MX"/>
              </w:rPr>
              <w:t></w:t>
            </w:r>
            <w:r>
              <w:rPr>
                <w:rFonts w:ascii="Symbol" w:hAnsi="Symbol" w:cs="Symbol"/>
                <w:color w:val="333333"/>
                <w:sz w:val="20"/>
                <w:szCs w:val="20"/>
                <w:lang w:val="es-ES" w:eastAsia="es-MX"/>
              </w:rPr>
              <w:t></w:t>
            </w:r>
            <w:r>
              <w:rPr>
                <w:rFonts w:ascii="Soberana Sans Light" w:hAnsi="Soberana Sans Light" w:cs="Soberana Sans Light"/>
                <w:color w:val="333333"/>
                <w:sz w:val="18"/>
                <w:szCs w:val="18"/>
                <w:lang w:val="es-ES" w:eastAsia="es-MX"/>
              </w:rPr>
              <w:t xml:space="preserve">L.A.E. Salvador Peña </w:t>
            </w:r>
            <w:proofErr w:type="spellStart"/>
            <w:r>
              <w:rPr>
                <w:rFonts w:ascii="Soberana Sans Light" w:hAnsi="Soberana Sans Light" w:cs="Soberana Sans Light"/>
                <w:color w:val="333333"/>
                <w:sz w:val="18"/>
                <w:szCs w:val="18"/>
                <w:lang w:val="es-ES" w:eastAsia="es-MX"/>
              </w:rPr>
              <w:t>Gutierrez</w:t>
            </w:r>
            <w:proofErr w:type="spellEnd"/>
            <w:r>
              <w:rPr>
                <w:rFonts w:ascii="Soberana Sans Light" w:hAnsi="Soberana Sans Light" w:cs="Soberana Sans Light"/>
                <w:color w:val="333333"/>
                <w:sz w:val="18"/>
                <w:szCs w:val="18"/>
                <w:lang w:val="es-ES" w:eastAsia="es-MX"/>
              </w:rPr>
              <w:t>, Síndico Municipal y Vocal de Patronato</w:t>
            </w:r>
            <w:proofErr w:type="gramStart"/>
            <w:r>
              <w:rPr>
                <w:rFonts w:ascii="Soberana Sans Light" w:hAnsi="Soberana Sans Light" w:cs="Soberana Sans Light"/>
                <w:color w:val="333333"/>
                <w:sz w:val="18"/>
                <w:szCs w:val="18"/>
                <w:lang w:val="es-ES" w:eastAsia="es-MX"/>
              </w:rPr>
              <w:t>, ,</w:t>
            </w:r>
            <w:proofErr w:type="gramEnd"/>
            <w:r>
              <w:rPr>
                <w:rFonts w:ascii="Soberana Sans Light" w:hAnsi="Soberana Sans Light" w:cs="Soberana Sans Light"/>
                <w:color w:val="333333"/>
                <w:sz w:val="18"/>
                <w:szCs w:val="18"/>
                <w:lang w:val="es-ES" w:eastAsia="es-MX"/>
              </w:rPr>
              <w:t xml:space="preserve"> L.C.P. Fernando Ibarra </w:t>
            </w:r>
            <w:proofErr w:type="spellStart"/>
            <w:r>
              <w:rPr>
                <w:rFonts w:ascii="Soberana Sans Light" w:hAnsi="Soberana Sans Light" w:cs="Soberana Sans Light"/>
                <w:color w:val="333333"/>
                <w:sz w:val="18"/>
                <w:szCs w:val="18"/>
                <w:lang w:val="es-ES" w:eastAsia="es-MX"/>
              </w:rPr>
              <w:t>Reyes,Escargado</w:t>
            </w:r>
            <w:proofErr w:type="spellEnd"/>
            <w:r>
              <w:rPr>
                <w:rFonts w:ascii="Soberana Sans Light" w:hAnsi="Soberana Sans Light" w:cs="Soberana Sans Light"/>
                <w:color w:val="333333"/>
                <w:sz w:val="18"/>
                <w:szCs w:val="18"/>
                <w:lang w:val="es-ES" w:eastAsia="es-MX"/>
              </w:rPr>
              <w:t xml:space="preserve"> de la Hacienda Municipal y Vocal de Patronato.</w:t>
            </w:r>
            <w:r>
              <w:rPr>
                <w:rFonts w:ascii="Symbol" w:hAnsi="Symbol" w:cs="Symbol"/>
                <w:color w:val="333333"/>
                <w:sz w:val="20"/>
                <w:szCs w:val="20"/>
                <w:lang w:val="es-ES" w:eastAsia="es-MX"/>
              </w:rPr>
              <w:t></w:t>
            </w:r>
            <w:r>
              <w:rPr>
                <w:rFonts w:ascii="Symbol" w:hAnsi="Symbol" w:cs="Symbol"/>
                <w:color w:val="333333"/>
                <w:sz w:val="20"/>
                <w:szCs w:val="20"/>
                <w:lang w:val="es-ES" w:eastAsia="es-MX"/>
              </w:rPr>
              <w:t></w:t>
            </w:r>
            <w:r>
              <w:rPr>
                <w:rFonts w:ascii="Soberana Sans Light" w:hAnsi="Soberana Sans Light" w:cs="Soberana Sans Light"/>
                <w:color w:val="333333"/>
                <w:sz w:val="18"/>
                <w:szCs w:val="18"/>
                <w:lang w:val="es-ES" w:eastAsia="es-MX"/>
              </w:rPr>
              <w:t xml:space="preserve">Lic. Rosa Adriana Reynoso Valera, Regidor de Asistencia Social y Vocal de Patronato, </w:t>
            </w:r>
            <w:r>
              <w:rPr>
                <w:rFonts w:ascii="Symbol" w:hAnsi="Symbol" w:cs="Symbol"/>
                <w:color w:val="333333"/>
                <w:sz w:val="20"/>
                <w:szCs w:val="20"/>
                <w:lang w:val="es-ES" w:eastAsia="es-MX"/>
              </w:rPr>
              <w:t></w:t>
            </w:r>
            <w:r>
              <w:rPr>
                <w:rFonts w:ascii="Symbol" w:hAnsi="Symbol" w:cs="Symbol"/>
                <w:color w:val="333333"/>
                <w:sz w:val="20"/>
                <w:szCs w:val="20"/>
                <w:lang w:val="es-ES" w:eastAsia="es-MX"/>
              </w:rPr>
              <w:t></w:t>
            </w:r>
            <w:r>
              <w:rPr>
                <w:rFonts w:ascii="Soberana Sans Light" w:hAnsi="Soberana Sans Light" w:cs="Soberana Sans Light"/>
                <w:color w:val="333333"/>
                <w:sz w:val="18"/>
                <w:szCs w:val="18"/>
                <w:lang w:val="es-ES" w:eastAsia="es-MX"/>
              </w:rPr>
              <w:t xml:space="preserve">Lic. Aurora Gutiérrez Casillas Regidor de Educación y Vocal de Patronato, </w:t>
            </w:r>
            <w:r>
              <w:rPr>
                <w:rFonts w:ascii="Symbol" w:hAnsi="Symbol" w:cs="Symbol"/>
                <w:color w:val="333333"/>
                <w:sz w:val="20"/>
                <w:szCs w:val="20"/>
                <w:lang w:val="es-ES" w:eastAsia="es-MX"/>
              </w:rPr>
              <w:t></w:t>
            </w:r>
            <w:r>
              <w:rPr>
                <w:rFonts w:ascii="Symbol" w:hAnsi="Symbol" w:cs="Symbol"/>
                <w:color w:val="333333"/>
                <w:sz w:val="20"/>
                <w:szCs w:val="20"/>
                <w:lang w:val="es-ES" w:eastAsia="es-MX"/>
              </w:rPr>
              <w:t></w:t>
            </w:r>
            <w:r>
              <w:rPr>
                <w:rFonts w:ascii="Soberana Sans Light" w:hAnsi="Soberana Sans Light" w:cs="Soberana Sans Light"/>
                <w:color w:val="333333"/>
                <w:sz w:val="18"/>
                <w:szCs w:val="18"/>
                <w:lang w:val="es-ES" w:eastAsia="es-MX"/>
              </w:rPr>
              <w:t xml:space="preserve">Dr. Francisco Javier Ramírez </w:t>
            </w:r>
            <w:proofErr w:type="spellStart"/>
            <w:r>
              <w:rPr>
                <w:rFonts w:ascii="Soberana Sans Light" w:hAnsi="Soberana Sans Light" w:cs="Soberana Sans Light"/>
                <w:color w:val="333333"/>
                <w:sz w:val="18"/>
                <w:szCs w:val="18"/>
                <w:lang w:val="es-ES" w:eastAsia="es-MX"/>
              </w:rPr>
              <w:t>Cervantes</w:t>
            </w:r>
            <w:proofErr w:type="gramStart"/>
            <w:r>
              <w:rPr>
                <w:rFonts w:ascii="Soberana Sans Light" w:hAnsi="Soberana Sans Light" w:cs="Soberana Sans Light"/>
                <w:color w:val="333333"/>
                <w:sz w:val="18"/>
                <w:szCs w:val="18"/>
                <w:lang w:val="es-ES" w:eastAsia="es-MX"/>
              </w:rPr>
              <w:t>,Regidor</w:t>
            </w:r>
            <w:proofErr w:type="spellEnd"/>
            <w:proofErr w:type="gramEnd"/>
            <w:r>
              <w:rPr>
                <w:rFonts w:ascii="Soberana Sans Light" w:hAnsi="Soberana Sans Light" w:cs="Soberana Sans Light"/>
                <w:color w:val="333333"/>
                <w:sz w:val="18"/>
                <w:szCs w:val="18"/>
                <w:lang w:val="es-ES" w:eastAsia="es-MX"/>
              </w:rPr>
              <w:t xml:space="preserve"> de Servicios Médico y Vocal de Patronato, </w:t>
            </w:r>
            <w:r>
              <w:rPr>
                <w:rFonts w:ascii="Symbol" w:hAnsi="Symbol" w:cs="Symbol"/>
                <w:color w:val="333333"/>
                <w:sz w:val="20"/>
                <w:szCs w:val="20"/>
                <w:lang w:val="es-ES" w:eastAsia="es-MX"/>
              </w:rPr>
              <w:t></w:t>
            </w:r>
            <w:r>
              <w:rPr>
                <w:rFonts w:ascii="Symbol" w:hAnsi="Symbol" w:cs="Symbol"/>
                <w:color w:val="333333"/>
                <w:sz w:val="20"/>
                <w:szCs w:val="20"/>
                <w:lang w:val="es-ES" w:eastAsia="es-MX"/>
              </w:rPr>
              <w:t></w:t>
            </w:r>
            <w:r>
              <w:rPr>
                <w:rFonts w:ascii="Soberana Sans Light" w:hAnsi="Soberana Sans Light" w:cs="Soberana Sans Light"/>
                <w:color w:val="333333"/>
                <w:sz w:val="18"/>
                <w:szCs w:val="18"/>
                <w:lang w:val="es-ES" w:eastAsia="es-MX"/>
              </w:rPr>
              <w:t xml:space="preserve">Lic. Francisco Javier Hernández </w:t>
            </w:r>
            <w:proofErr w:type="spellStart"/>
            <w:r>
              <w:rPr>
                <w:rFonts w:ascii="Soberana Sans Light" w:hAnsi="Soberana Sans Light" w:cs="Soberana Sans Light"/>
                <w:color w:val="333333"/>
                <w:sz w:val="18"/>
                <w:szCs w:val="18"/>
                <w:lang w:val="es-ES" w:eastAsia="es-MX"/>
              </w:rPr>
              <w:t>Hernández</w:t>
            </w:r>
            <w:proofErr w:type="spellEnd"/>
            <w:r>
              <w:rPr>
                <w:rFonts w:ascii="Soberana Sans Light" w:hAnsi="Soberana Sans Light" w:cs="Soberana Sans Light"/>
                <w:color w:val="333333"/>
                <w:sz w:val="18"/>
                <w:szCs w:val="18"/>
                <w:lang w:val="es-ES" w:eastAsia="es-MX"/>
              </w:rPr>
              <w:t xml:space="preserve">, Regidor del Sector Agrario y Vocal de Patronato, </w:t>
            </w:r>
            <w:r>
              <w:rPr>
                <w:rFonts w:ascii="Symbol" w:hAnsi="Symbol" w:cs="Symbol"/>
                <w:color w:val="333333"/>
                <w:sz w:val="20"/>
                <w:szCs w:val="20"/>
                <w:lang w:val="es-ES" w:eastAsia="es-MX"/>
              </w:rPr>
              <w:t></w:t>
            </w:r>
            <w:r>
              <w:rPr>
                <w:rFonts w:ascii="Symbol" w:hAnsi="Symbol" w:cs="Symbol"/>
                <w:color w:val="333333"/>
                <w:sz w:val="20"/>
                <w:szCs w:val="20"/>
                <w:lang w:val="es-ES" w:eastAsia="es-MX"/>
              </w:rPr>
              <w:t></w:t>
            </w:r>
            <w:r>
              <w:rPr>
                <w:rFonts w:ascii="Soberana Sans Light" w:hAnsi="Soberana Sans Light" w:cs="Soberana Sans Light"/>
                <w:color w:val="333333"/>
                <w:sz w:val="18"/>
                <w:szCs w:val="18"/>
                <w:lang w:val="es-ES" w:eastAsia="es-MX"/>
              </w:rPr>
              <w:t xml:space="preserve">C. David Enríquez González, Representante de Instituciones Privadas de Asistencia Social y Vocal de Patronato, </w:t>
            </w:r>
            <w:r>
              <w:rPr>
                <w:rFonts w:ascii="Symbol" w:hAnsi="Symbol" w:cs="Symbol"/>
                <w:color w:val="333333"/>
                <w:sz w:val="20"/>
                <w:szCs w:val="20"/>
                <w:lang w:val="es-ES" w:eastAsia="es-MX"/>
              </w:rPr>
              <w:t></w:t>
            </w:r>
            <w:r>
              <w:rPr>
                <w:rFonts w:ascii="Symbol" w:hAnsi="Symbol" w:cs="Symbol"/>
                <w:color w:val="333333"/>
                <w:sz w:val="20"/>
                <w:szCs w:val="20"/>
                <w:lang w:val="es-ES" w:eastAsia="es-MX"/>
              </w:rPr>
              <w:t></w:t>
            </w:r>
            <w:r>
              <w:rPr>
                <w:rFonts w:ascii="Soberana Sans Light" w:hAnsi="Soberana Sans Light" w:cs="Soberana Sans Light"/>
                <w:color w:val="333333"/>
                <w:sz w:val="18"/>
                <w:szCs w:val="18"/>
                <w:lang w:val="es-ES" w:eastAsia="es-MX"/>
              </w:rPr>
              <w:t xml:space="preserve">Lic. Sonia Alejandra Díaz </w:t>
            </w:r>
            <w:proofErr w:type="spellStart"/>
            <w:r>
              <w:rPr>
                <w:rFonts w:ascii="Soberana Sans Light" w:hAnsi="Soberana Sans Light" w:cs="Soberana Sans Light"/>
                <w:color w:val="333333"/>
                <w:sz w:val="18"/>
                <w:szCs w:val="18"/>
                <w:lang w:val="es-ES" w:eastAsia="es-MX"/>
              </w:rPr>
              <w:t>Muñoz,Regidor</w:t>
            </w:r>
            <w:proofErr w:type="spellEnd"/>
            <w:r>
              <w:rPr>
                <w:rFonts w:ascii="Soberana Sans Light" w:hAnsi="Soberana Sans Light" w:cs="Soberana Sans Light"/>
                <w:color w:val="333333"/>
                <w:sz w:val="18"/>
                <w:szCs w:val="18"/>
                <w:lang w:val="es-ES" w:eastAsia="es-MX"/>
              </w:rPr>
              <w:t xml:space="preserve"> de Cultura y Vocal de Patronato</w:t>
            </w:r>
            <w:proofErr w:type="gramStart"/>
            <w:r>
              <w:rPr>
                <w:rFonts w:ascii="Soberana Sans Light" w:hAnsi="Soberana Sans Light" w:cs="Soberana Sans Light"/>
                <w:color w:val="333333"/>
                <w:sz w:val="18"/>
                <w:szCs w:val="18"/>
                <w:lang w:val="es-ES" w:eastAsia="es-MX"/>
              </w:rPr>
              <w:t>,.</w:t>
            </w:r>
            <w:proofErr w:type="gramEnd"/>
          </w:p>
          <w:p w:rsidR="00AB199D" w:rsidRDefault="00AB199D" w:rsidP="00AB199D">
            <w:pPr>
              <w:autoSpaceDE w:val="0"/>
              <w:autoSpaceDN w:val="0"/>
              <w:adjustRightInd w:val="0"/>
              <w:rPr>
                <w:rFonts w:ascii="Soberana Sans Light" w:hAnsi="Soberana Sans Light" w:cs="Soberana Sans Light"/>
                <w:color w:val="333333"/>
                <w:sz w:val="18"/>
                <w:szCs w:val="18"/>
                <w:lang w:val="es-ES" w:eastAsia="es-MX"/>
              </w:rPr>
            </w:pPr>
            <w:r>
              <w:rPr>
                <w:rFonts w:ascii="Soberana Sans Light" w:hAnsi="Soberana Sans Light" w:cs="Soberana Sans Light"/>
                <w:color w:val="333333"/>
                <w:sz w:val="18"/>
                <w:szCs w:val="18"/>
                <w:lang w:val="es-ES" w:eastAsia="es-MX"/>
              </w:rPr>
              <w:t xml:space="preserve"> </w:t>
            </w:r>
            <w:r>
              <w:rPr>
                <w:rFonts w:ascii="Soberana Sans Light" w:hAnsi="Soberana Sans Light" w:cs="Soberana Sans Light"/>
                <w:b/>
                <w:bCs/>
                <w:color w:val="333333"/>
                <w:sz w:val="18"/>
                <w:szCs w:val="18"/>
                <w:lang w:val="es-ES" w:eastAsia="es-MX"/>
              </w:rPr>
              <w:t xml:space="preserve">1.3.3 Áreas de Apoyo Administrativo. </w:t>
            </w:r>
            <w:r>
              <w:rPr>
                <w:rFonts w:ascii="Soberana Sans Light" w:hAnsi="Soberana Sans Light" w:cs="Soberana Sans Light"/>
                <w:color w:val="333333"/>
                <w:sz w:val="18"/>
                <w:szCs w:val="18"/>
                <w:lang w:val="es-ES" w:eastAsia="es-MX"/>
              </w:rPr>
              <w:t xml:space="preserve">  </w:t>
            </w:r>
            <w:r>
              <w:rPr>
                <w:rFonts w:ascii="Microsoft Sans Serif" w:hAnsi="Microsoft Sans Serif" w:cs="Microsoft Sans Serif"/>
                <w:b/>
                <w:bCs/>
                <w:color w:val="400040"/>
                <w:sz w:val="18"/>
                <w:szCs w:val="18"/>
                <w:lang w:val="es-ES" w:eastAsia="es-MX"/>
              </w:rPr>
              <w:t>CENTRO ASISTENCIAL DE DESARROLLO INFANTIL  CADI</w:t>
            </w:r>
            <w:r>
              <w:rPr>
                <w:rFonts w:ascii="Soberana Sans Light" w:hAnsi="Soberana Sans Light" w:cs="Soberana Sans Light"/>
                <w:color w:val="333333"/>
                <w:sz w:val="18"/>
                <w:szCs w:val="18"/>
                <w:lang w:val="es-ES" w:eastAsia="es-MX"/>
              </w:rPr>
              <w:t xml:space="preserve"> es un proyecto el cual está enfocado para la gente más necesitada, a las mamás trabajadoras, de bajo recursos económicos, madres adolescentes que se ven con la obligación de trabajar y hasta en algunos casos de estudiar, madres solteras o padres solteros que se ven con la necesidad de dejar a sus hijos, y necesitan de un lugar en donde se le dé seguridad y que se les va a cuidar y tratar bien.    El CADI brinda educación inicial y preescolar a partir de los 18 meses a 5 años 11 meses, y en su caso hasta terminar la educación preescolar.    Contamos con servicios</w:t>
            </w:r>
            <w:proofErr w:type="gramStart"/>
            <w:r>
              <w:rPr>
                <w:rFonts w:ascii="Soberana Sans Light" w:hAnsi="Soberana Sans Light" w:cs="Soberana Sans Light"/>
                <w:color w:val="333333"/>
                <w:sz w:val="18"/>
                <w:szCs w:val="18"/>
                <w:lang w:val="es-ES" w:eastAsia="es-MX"/>
              </w:rPr>
              <w:t>:  •</w:t>
            </w:r>
            <w:proofErr w:type="gramEnd"/>
            <w:r>
              <w:rPr>
                <w:rFonts w:ascii="Soberana Sans Light" w:hAnsi="Soberana Sans Light" w:cs="Soberana Sans Light"/>
                <w:color w:val="333333"/>
                <w:sz w:val="18"/>
                <w:szCs w:val="18"/>
                <w:lang w:val="es-ES" w:eastAsia="es-MX"/>
              </w:rPr>
              <w:t xml:space="preserve">Área </w:t>
            </w:r>
            <w:proofErr w:type="spellStart"/>
            <w:r>
              <w:rPr>
                <w:rFonts w:ascii="Soberana Sans Light" w:hAnsi="Soberana Sans Light" w:cs="Soberana Sans Light"/>
                <w:color w:val="333333"/>
                <w:sz w:val="18"/>
                <w:szCs w:val="18"/>
                <w:lang w:val="es-ES" w:eastAsia="es-MX"/>
              </w:rPr>
              <w:t>medica</w:t>
            </w:r>
            <w:proofErr w:type="spellEnd"/>
            <w:r>
              <w:rPr>
                <w:rFonts w:ascii="Soberana Sans Light" w:hAnsi="Soberana Sans Light" w:cs="Soberana Sans Light"/>
                <w:color w:val="333333"/>
                <w:sz w:val="18"/>
                <w:szCs w:val="18"/>
                <w:lang w:val="es-ES" w:eastAsia="es-MX"/>
              </w:rPr>
              <w:t xml:space="preserve"> •Psicología •Trabajo social •Alimentación     Ofrecemos:  •Actividad pedagógicas </w:t>
            </w:r>
            <w:r>
              <w:rPr>
                <w:rFonts w:ascii="Arial" w:hAnsi="Arial" w:cs="Arial"/>
                <w:color w:val="333333"/>
                <w:sz w:val="18"/>
                <w:szCs w:val="18"/>
                <w:lang w:val="es-ES" w:eastAsia="es-MX"/>
              </w:rPr>
              <w:t>◦</w:t>
            </w:r>
            <w:r>
              <w:rPr>
                <w:rFonts w:ascii="Soberana Sans Light" w:hAnsi="Soberana Sans Light" w:cs="Soberana Sans Light"/>
                <w:color w:val="333333"/>
                <w:sz w:val="18"/>
                <w:szCs w:val="18"/>
                <w:lang w:val="es-ES" w:eastAsia="es-MX"/>
              </w:rPr>
              <w:t xml:space="preserve">Recreativas </w:t>
            </w:r>
            <w:r>
              <w:rPr>
                <w:rFonts w:ascii="Arial" w:hAnsi="Arial" w:cs="Arial"/>
                <w:color w:val="333333"/>
                <w:sz w:val="18"/>
                <w:szCs w:val="18"/>
                <w:lang w:val="es-ES" w:eastAsia="es-MX"/>
              </w:rPr>
              <w:t>◦</w:t>
            </w:r>
            <w:r>
              <w:rPr>
                <w:rFonts w:ascii="Soberana Sans Light" w:hAnsi="Soberana Sans Light" w:cs="Soberana Sans Light"/>
                <w:color w:val="333333"/>
                <w:sz w:val="18"/>
                <w:szCs w:val="18"/>
                <w:lang w:val="es-ES" w:eastAsia="es-MX"/>
              </w:rPr>
              <w:t xml:space="preserve">Cívicas </w:t>
            </w:r>
            <w:r>
              <w:rPr>
                <w:rFonts w:ascii="Arial" w:hAnsi="Arial" w:cs="Arial"/>
                <w:color w:val="333333"/>
                <w:sz w:val="18"/>
                <w:szCs w:val="18"/>
                <w:lang w:val="es-ES" w:eastAsia="es-MX"/>
              </w:rPr>
              <w:t>◦</w:t>
            </w:r>
            <w:r>
              <w:rPr>
                <w:rFonts w:ascii="Soberana Sans Light" w:hAnsi="Soberana Sans Light" w:cs="Soberana Sans Light"/>
                <w:color w:val="333333"/>
                <w:sz w:val="18"/>
                <w:szCs w:val="18"/>
                <w:lang w:val="es-ES" w:eastAsia="es-MX"/>
              </w:rPr>
              <w:t xml:space="preserve">Culturales  •Resguardo y protección del menor •Cuotas accesibles •Horario de 7:00 a.m. A 4:00 p.m.     También contamos con amplio estacionamiento  Domicilio: Zaragoza # 325 Col. Centro   TEL: 378 78 18580.      </w:t>
            </w:r>
            <w:r>
              <w:rPr>
                <w:rFonts w:ascii="Microsoft Sans Serif" w:hAnsi="Microsoft Sans Serif" w:cs="Microsoft Sans Serif"/>
                <w:b/>
                <w:bCs/>
                <w:color w:val="333333"/>
                <w:sz w:val="18"/>
                <w:szCs w:val="18"/>
                <w:lang w:val="es-ES" w:eastAsia="es-MX"/>
              </w:rPr>
              <w:t xml:space="preserve">UNIDAD REGIONAL DE REHABILITACION URR   </w:t>
            </w:r>
            <w:r>
              <w:rPr>
                <w:rFonts w:ascii="Soberana Sans Light" w:hAnsi="Soberana Sans Light" w:cs="Soberana Sans Light"/>
                <w:color w:val="333333"/>
                <w:sz w:val="18"/>
                <w:szCs w:val="18"/>
                <w:lang w:val="es-ES" w:eastAsia="es-MX"/>
              </w:rPr>
              <w:t xml:space="preserve">En la Unidad Regional de Rehabilitación (URR) se llevan a cabo consultas para diagnóstico de problemas traumatológicos/ortopédicos consultas psicológicas y de lenguaje. Así mismo la rehabilitación necesaria para cada caso (estimulación temprana, física, psicológica y de lenguaje) para el oportuno tratamiento de las discapacidades con tecnología de primer mundo para una pronta recuperación.    Respecto de los requisitos el principal es que las personas no cuenten con seguridad social ya que las instituciones públicas de salud gubernamentales (IMSS e ISSSTE) cuentan con el recurso y servicios de rehabilitación por lo tanto se les da prioridad a las personas más vulnerables de la población, es decir, que sean aptas de asistencia social.    Así mismo se hacen valoraciones físicas, de lenguaje y psicológicas para diferentes trámites escolares u oficiales. Prestamos de sillas de ruedas, muletas andaderas y bastones. También se tramitan las credenciales de discapacidad y los gafetes para las personas que tengan una discapacidad motora y con este puedan utilizar los espacios reservados especialmente para ellos.    Este programa está dirigido a todas las personas desde bebes hasta ancianos con discapacidad y/o secuelas de algún traumatismo físico, con el objetivo de darles una mejor calidad de vida.    En resumen, la rehabilitación física es la acción coordinada de un conjunto de acciones médicas, psicológicas, educativas, sociales y de capacitación que tienen como finalidad readaptar o reeducar a la persona con discapacidad para que alcance la mayor recuperación posible de funcionalidad que le permita ser lo más independiente posible y lograr su integración social.     </w:t>
            </w:r>
            <w:r>
              <w:rPr>
                <w:rFonts w:ascii="Microsoft Sans Serif" w:hAnsi="Microsoft Sans Serif" w:cs="Microsoft Sans Serif"/>
                <w:b/>
                <w:bCs/>
                <w:color w:val="333333"/>
                <w:sz w:val="18"/>
                <w:szCs w:val="18"/>
                <w:lang w:val="es-ES" w:eastAsia="es-MX"/>
              </w:rPr>
              <w:t xml:space="preserve">UNIDAD DE ATENCION A LA VIOLENCIA INTRAFAMILIAR  UAVI  </w:t>
            </w:r>
            <w:r>
              <w:rPr>
                <w:rFonts w:ascii="Soberana Sans Light" w:hAnsi="Soberana Sans Light" w:cs="Soberana Sans Light"/>
                <w:color w:val="333333"/>
                <w:sz w:val="18"/>
                <w:szCs w:val="18"/>
                <w:lang w:val="es-ES" w:eastAsia="es-MX"/>
              </w:rPr>
              <w:t xml:space="preserve">Es un lugar especializado donde se brinda atención a la problemática de la violencia intrafamiliar, mediante el apoyo, orientación y derivación del aspecto Legal, Psicológico y Social.    •Utilidad: </w:t>
            </w:r>
            <w:r>
              <w:rPr>
                <w:rFonts w:ascii="Arial" w:hAnsi="Arial" w:cs="Arial"/>
                <w:color w:val="333333"/>
                <w:sz w:val="18"/>
                <w:szCs w:val="18"/>
                <w:lang w:val="es-ES" w:eastAsia="es-MX"/>
              </w:rPr>
              <w:t>◦</w:t>
            </w:r>
            <w:r>
              <w:rPr>
                <w:rFonts w:ascii="Soberana Sans Light" w:hAnsi="Soberana Sans Light" w:cs="Soberana Sans Light"/>
                <w:color w:val="333333"/>
                <w:sz w:val="18"/>
                <w:szCs w:val="18"/>
                <w:lang w:val="es-ES" w:eastAsia="es-MX"/>
              </w:rPr>
              <w:t xml:space="preserve">Combatir la violencia al desarrollar relaciones familiares basadas en amor y la paz, fomentadas por la igualdad, el respeto y la aceptación de los demás.  </w:t>
            </w:r>
            <w:r>
              <w:rPr>
                <w:rFonts w:ascii="Soberana Sans Light" w:hAnsi="Soberana Sans Light" w:cs="Soberana Sans Light"/>
                <w:color w:val="333333"/>
                <w:sz w:val="18"/>
                <w:szCs w:val="18"/>
                <w:lang w:val="es-ES" w:eastAsia="es-MX"/>
              </w:rPr>
              <w:lastRenderedPageBreak/>
              <w:t xml:space="preserve">•Requisitos: </w:t>
            </w:r>
            <w:r>
              <w:rPr>
                <w:rFonts w:ascii="Arial" w:hAnsi="Arial" w:cs="Arial"/>
                <w:color w:val="333333"/>
                <w:sz w:val="18"/>
                <w:szCs w:val="18"/>
                <w:lang w:val="es-ES" w:eastAsia="es-MX"/>
              </w:rPr>
              <w:t>◦</w:t>
            </w:r>
            <w:r>
              <w:rPr>
                <w:rFonts w:ascii="Soberana Sans Light" w:hAnsi="Soberana Sans Light" w:cs="Soberana Sans Light"/>
                <w:color w:val="333333"/>
                <w:sz w:val="18"/>
                <w:szCs w:val="18"/>
                <w:lang w:val="es-ES" w:eastAsia="es-MX"/>
              </w:rPr>
              <w:t xml:space="preserve">Asistencia del interesado. </w:t>
            </w:r>
            <w:r>
              <w:rPr>
                <w:rFonts w:ascii="Arial" w:hAnsi="Arial" w:cs="Arial"/>
                <w:color w:val="333333"/>
                <w:sz w:val="18"/>
                <w:szCs w:val="18"/>
                <w:lang w:val="es-ES" w:eastAsia="es-MX"/>
              </w:rPr>
              <w:t>◦</w:t>
            </w:r>
            <w:r>
              <w:rPr>
                <w:rFonts w:ascii="Soberana Sans Light" w:hAnsi="Soberana Sans Light" w:cs="Soberana Sans Light"/>
                <w:color w:val="333333"/>
                <w:sz w:val="18"/>
                <w:szCs w:val="18"/>
                <w:lang w:val="es-ES" w:eastAsia="es-MX"/>
              </w:rPr>
              <w:t xml:space="preserve">No presentarse bajo los efectos de algún enervante o bebidas embriagantes. </w:t>
            </w:r>
            <w:r>
              <w:rPr>
                <w:rFonts w:ascii="Arial" w:hAnsi="Arial" w:cs="Arial"/>
                <w:color w:val="333333"/>
                <w:sz w:val="18"/>
                <w:szCs w:val="18"/>
                <w:lang w:val="es-ES" w:eastAsia="es-MX"/>
              </w:rPr>
              <w:t>◦</w:t>
            </w:r>
            <w:r>
              <w:rPr>
                <w:rFonts w:ascii="Soberana Sans Light" w:hAnsi="Soberana Sans Light" w:cs="Soberana Sans Light"/>
                <w:color w:val="333333"/>
                <w:sz w:val="18"/>
                <w:szCs w:val="18"/>
                <w:lang w:val="es-ES" w:eastAsia="es-MX"/>
              </w:rPr>
              <w:t xml:space="preserve">Ser mayor de edad, de lo contrario acudir con su padre, madre o tutor (de preferencia portar identificación oficial). </w:t>
            </w:r>
            <w:r>
              <w:rPr>
                <w:rFonts w:ascii="Arial" w:hAnsi="Arial" w:cs="Arial"/>
                <w:color w:val="333333"/>
                <w:sz w:val="18"/>
                <w:szCs w:val="18"/>
                <w:lang w:val="es-ES" w:eastAsia="es-MX"/>
              </w:rPr>
              <w:t>◦</w:t>
            </w:r>
            <w:r>
              <w:rPr>
                <w:rFonts w:ascii="Soberana Sans Light" w:hAnsi="Soberana Sans Light" w:cs="Soberana Sans Light"/>
                <w:color w:val="333333"/>
                <w:sz w:val="18"/>
                <w:szCs w:val="18"/>
                <w:lang w:val="es-ES" w:eastAsia="es-MX"/>
              </w:rPr>
              <w:t xml:space="preserve">Llenar solicitud de servicio.  •Servicios: </w:t>
            </w:r>
            <w:r>
              <w:rPr>
                <w:rFonts w:ascii="Arial" w:hAnsi="Arial" w:cs="Arial"/>
                <w:color w:val="333333"/>
                <w:sz w:val="18"/>
                <w:szCs w:val="18"/>
                <w:lang w:val="es-ES" w:eastAsia="es-MX"/>
              </w:rPr>
              <w:t>◦</w:t>
            </w:r>
            <w:r>
              <w:rPr>
                <w:rFonts w:ascii="Soberana Sans Light" w:hAnsi="Soberana Sans Light" w:cs="Soberana Sans Light"/>
                <w:color w:val="333333"/>
                <w:sz w:val="18"/>
                <w:szCs w:val="18"/>
                <w:lang w:val="es-ES" w:eastAsia="es-MX"/>
              </w:rPr>
              <w:t xml:space="preserve">Trabajo social: Entrevista inicial, investigaciones sociales como investigación de campo, estudios socio-económico y familiar en apoyo a la fiscalía, seguimiento de casos y atención a los reportes de omisión de cuidados (menores de edad, discapacitados y personas de la tercera edad).  </w:t>
            </w:r>
            <w:r>
              <w:rPr>
                <w:rFonts w:ascii="Arial" w:hAnsi="Arial" w:cs="Arial"/>
                <w:color w:val="333333"/>
                <w:sz w:val="18"/>
                <w:szCs w:val="18"/>
                <w:lang w:val="es-ES" w:eastAsia="es-MX"/>
              </w:rPr>
              <w:t>◦</w:t>
            </w:r>
            <w:r>
              <w:rPr>
                <w:rFonts w:ascii="Soberana Sans Light" w:hAnsi="Soberana Sans Light" w:cs="Soberana Sans Light"/>
                <w:color w:val="333333"/>
                <w:sz w:val="18"/>
                <w:szCs w:val="18"/>
                <w:lang w:val="es-ES" w:eastAsia="es-MX"/>
              </w:rPr>
              <w:t xml:space="preserve">Atención Psicológica: Se realiza atención psicoterapéutica, individual, de pareja y familiar, intervenciones en crisis, orientaciones psicológicas, valoraciones psicológicas a casos reportados de omisión de cuidados, así como apoyo a la Fiscalía General del Estado, etc. </w:t>
            </w:r>
            <w:r>
              <w:rPr>
                <w:rFonts w:ascii="Arial" w:hAnsi="Arial" w:cs="Arial"/>
                <w:color w:val="333333"/>
                <w:sz w:val="18"/>
                <w:szCs w:val="18"/>
                <w:lang w:val="es-ES" w:eastAsia="es-MX"/>
              </w:rPr>
              <w:t>◦</w:t>
            </w:r>
            <w:r>
              <w:rPr>
                <w:rFonts w:ascii="Soberana Sans Light" w:hAnsi="Soberana Sans Light" w:cs="Soberana Sans Light"/>
                <w:color w:val="333333"/>
                <w:sz w:val="18"/>
                <w:szCs w:val="18"/>
                <w:lang w:val="es-ES" w:eastAsia="es-MX"/>
              </w:rPr>
              <w:t xml:space="preserve">Atención Jurídica: Procedimientos conciliatorios y de mediación, asesorías jurídicas y familiares, acompañamientos a las denuncias de violencia intrafamiliar, seguimiento de expedientes, derivaciones, canalizaciones a diversas instituciones.  •Programas: </w:t>
            </w:r>
            <w:r>
              <w:rPr>
                <w:rFonts w:ascii="Arial" w:hAnsi="Arial" w:cs="Arial"/>
                <w:color w:val="333333"/>
                <w:sz w:val="18"/>
                <w:szCs w:val="18"/>
                <w:lang w:val="es-ES" w:eastAsia="es-MX"/>
              </w:rPr>
              <w:t>◦</w:t>
            </w:r>
            <w:r>
              <w:rPr>
                <w:rFonts w:ascii="Soberana Sans Light" w:hAnsi="Soberana Sans Light" w:cs="Soberana Sans Light"/>
                <w:color w:val="333333"/>
                <w:sz w:val="18"/>
                <w:szCs w:val="18"/>
                <w:lang w:val="es-ES" w:eastAsia="es-MX"/>
              </w:rPr>
              <w:t xml:space="preserve">“Mujeres por el Bienestar de las Familias” que pretende prevenir y sensibilizar sobre los tipos de violencia que existe dentro de las familias así como ayudar a elevar su autoestima para que vivan en un ambiente familiar sano, además de dar a conocer los servicios que ofrece la institución.  •Talleres: </w:t>
            </w:r>
            <w:r>
              <w:rPr>
                <w:rFonts w:ascii="Arial" w:hAnsi="Arial" w:cs="Arial"/>
                <w:color w:val="333333"/>
                <w:sz w:val="18"/>
                <w:szCs w:val="18"/>
                <w:lang w:val="es-ES" w:eastAsia="es-MX"/>
              </w:rPr>
              <w:t>◦</w:t>
            </w:r>
            <w:r>
              <w:rPr>
                <w:rFonts w:ascii="Soberana Sans Light" w:hAnsi="Soberana Sans Light" w:cs="Soberana Sans Light"/>
                <w:color w:val="333333"/>
                <w:sz w:val="18"/>
                <w:szCs w:val="18"/>
                <w:lang w:val="es-ES" w:eastAsia="es-MX"/>
              </w:rPr>
              <w:t xml:space="preserve">Corte y Confección de Ropa </w:t>
            </w:r>
            <w:r>
              <w:rPr>
                <w:rFonts w:ascii="Arial" w:hAnsi="Arial" w:cs="Arial"/>
                <w:color w:val="333333"/>
                <w:sz w:val="18"/>
                <w:szCs w:val="18"/>
                <w:lang w:val="es-ES" w:eastAsia="es-MX"/>
              </w:rPr>
              <w:t>◦</w:t>
            </w:r>
            <w:r>
              <w:rPr>
                <w:rFonts w:ascii="Soberana Sans Light" w:hAnsi="Soberana Sans Light" w:cs="Soberana Sans Light"/>
                <w:color w:val="333333"/>
                <w:sz w:val="18"/>
                <w:szCs w:val="18"/>
                <w:lang w:val="es-ES" w:eastAsia="es-MX"/>
              </w:rPr>
              <w:t xml:space="preserve">Cultura de Belleza  </w:t>
            </w:r>
            <w:r>
              <w:rPr>
                <w:rFonts w:ascii="Arial" w:hAnsi="Arial" w:cs="Arial"/>
                <w:color w:val="333333"/>
                <w:sz w:val="18"/>
                <w:szCs w:val="18"/>
                <w:lang w:val="es-ES" w:eastAsia="es-MX"/>
              </w:rPr>
              <w:t>◦</w:t>
            </w:r>
            <w:r>
              <w:rPr>
                <w:rFonts w:ascii="Soberana Sans Light" w:hAnsi="Soberana Sans Light" w:cs="Soberana Sans Light"/>
                <w:color w:val="333333"/>
                <w:sz w:val="18"/>
                <w:szCs w:val="18"/>
                <w:lang w:val="es-ES" w:eastAsia="es-MX"/>
              </w:rPr>
              <w:t xml:space="preserve">Aplicación de Uñas Acrílicas </w:t>
            </w:r>
            <w:r>
              <w:rPr>
                <w:rFonts w:ascii="Arial" w:hAnsi="Arial" w:cs="Arial"/>
                <w:color w:val="333333"/>
                <w:sz w:val="18"/>
                <w:szCs w:val="18"/>
                <w:lang w:val="es-ES" w:eastAsia="es-MX"/>
              </w:rPr>
              <w:t>◦</w:t>
            </w:r>
            <w:r>
              <w:rPr>
                <w:rFonts w:ascii="Soberana Sans Light" w:hAnsi="Soberana Sans Light" w:cs="Soberana Sans Light"/>
                <w:color w:val="333333"/>
                <w:sz w:val="18"/>
                <w:szCs w:val="18"/>
                <w:lang w:val="es-ES" w:eastAsia="es-MX"/>
              </w:rPr>
              <w:t xml:space="preserve">Peinado en Listón.    Con estos talleres los cuales tienen un pequeño costo se pretende que los alumnos y las alumnas que asisten a ellos, puedan capacitarse y así incursionar en el ambiente laboral y obtener un ingreso extra para ayuda económica en sus familias. </w:t>
            </w:r>
          </w:p>
          <w:p w:rsidR="00AB199D" w:rsidRDefault="00AB199D" w:rsidP="00AB199D">
            <w:pPr>
              <w:autoSpaceDE w:val="0"/>
              <w:autoSpaceDN w:val="0"/>
              <w:adjustRightInd w:val="0"/>
              <w:rPr>
                <w:rFonts w:ascii="Soberana Sans Light" w:hAnsi="Soberana Sans Light" w:cs="Soberana Sans Light"/>
                <w:color w:val="333333"/>
                <w:sz w:val="18"/>
                <w:szCs w:val="18"/>
                <w:lang w:val="es-ES" w:eastAsia="es-MX"/>
              </w:rPr>
            </w:pPr>
            <w:r>
              <w:rPr>
                <w:rFonts w:ascii="Soberana Sans Light" w:hAnsi="Soberana Sans Light" w:cs="Soberana Sans Light"/>
                <w:b/>
                <w:bCs/>
                <w:color w:val="333333"/>
                <w:sz w:val="18"/>
                <w:szCs w:val="18"/>
                <w:lang w:val="es-ES" w:eastAsia="es-MX"/>
              </w:rPr>
              <w:t xml:space="preserve">1.4 Régimen fiscal. </w:t>
            </w:r>
            <w:r>
              <w:rPr>
                <w:rFonts w:ascii="Soberana Sans Light" w:hAnsi="Soberana Sans Light" w:cs="Soberana Sans Light"/>
                <w:color w:val="333333"/>
                <w:sz w:val="18"/>
                <w:szCs w:val="18"/>
                <w:lang w:val="es-ES" w:eastAsia="es-MX"/>
              </w:rPr>
              <w:t xml:space="preserve">  De conformidad con lo dispuesto en el Título III de la Ley del Impuesto Sobre la Renta, vigente, el DIF Sistema para el Desarrollo Integral de la Familia del Municipio de Tepatitlán de Morelos, Jalisco no es contribuyente del Impuesto Sobre la Renta y solo tiene las obligaciones de retener y enterar el impuesto y exigir la documentación que reúna los requisitos fiscales, en términos de Ley. </w:t>
            </w:r>
            <w:r>
              <w:rPr>
                <w:rFonts w:ascii="Soberana Sans Light" w:hAnsi="Soberana Sans Light" w:cs="Soberana Sans Light"/>
                <w:b/>
                <w:bCs/>
                <w:color w:val="333333"/>
                <w:sz w:val="18"/>
                <w:szCs w:val="18"/>
                <w:lang w:val="es-ES" w:eastAsia="es-MX"/>
              </w:rPr>
              <w:t xml:space="preserve">1.5 Bases de Preparación de los Estados Financieros. </w:t>
            </w:r>
            <w:r>
              <w:rPr>
                <w:rFonts w:ascii="Soberana Sans Light" w:hAnsi="Soberana Sans Light" w:cs="Soberana Sans Light"/>
                <w:color w:val="333333"/>
                <w:sz w:val="18"/>
                <w:szCs w:val="18"/>
                <w:lang w:val="es-ES" w:eastAsia="es-MX"/>
              </w:rPr>
              <w:t xml:space="preserve">A partir del 1 de enero de 2011, el DIF Sistema para el Desarrollo Integral de la Familia del Municipio de Tepatitlán de Morelos, Jalisco, en cumplimiento a lo previsto en el artículo cuarto transitorio de la Ley General de Contabilidad Gubernamental, realizan sus registros contables con base acumulativa y en apego al Marco Conceptual, Postulados Básicos y Manual de Contabilidad Gubernamental armonizados, y demás disposiciones emitidas por el Consejo Nacional de Armonización Contable (CONAC), para facilitar el registro, transparencia, la rendición de cuentas y la fiscalización de los activos, pasivos, patrimonio, ingresos y gastos y, en general, contribuir a medir la eficacia, economía y eficiencia del gasto e ingresos de los órganos del DIF Sistema para el Desarrollo Integral de la Familia del Municipio de Tepatitlán de Morelos, Jalisco. </w:t>
            </w:r>
            <w:r>
              <w:rPr>
                <w:rFonts w:ascii="Soberana Sans Light" w:hAnsi="Soberana Sans Light" w:cs="Soberana Sans Light"/>
                <w:b/>
                <w:bCs/>
                <w:color w:val="333333"/>
                <w:sz w:val="18"/>
                <w:szCs w:val="18"/>
                <w:lang w:val="es-ES" w:eastAsia="es-MX"/>
              </w:rPr>
              <w:t xml:space="preserve">1.6 Políticas de Contabilidad Significativas. </w:t>
            </w:r>
            <w:r>
              <w:rPr>
                <w:rFonts w:ascii="Soberana Sans Light" w:hAnsi="Soberana Sans Light" w:cs="Soberana Sans Light"/>
                <w:color w:val="333333"/>
                <w:sz w:val="18"/>
                <w:szCs w:val="18"/>
                <w:lang w:val="es-ES" w:eastAsia="es-MX"/>
              </w:rPr>
              <w:t xml:space="preserve">  A continuación, se describen las principales políticas contables aplicadas por el DIF Sistema para el Desarrollo Integral de la Familia del Municipio de Tepatitlán de Morelos, Jalisco, como sigue: </w:t>
            </w:r>
            <w:r>
              <w:rPr>
                <w:rFonts w:ascii="Soberana Sans Light" w:hAnsi="Soberana Sans Light" w:cs="Soberana Sans Light"/>
                <w:b/>
                <w:bCs/>
                <w:color w:val="333333"/>
                <w:sz w:val="18"/>
                <w:szCs w:val="18"/>
                <w:lang w:val="es-ES" w:eastAsia="es-MX"/>
              </w:rPr>
              <w:t xml:space="preserve">1.6.1 Registro del Remanente Presupuestal. </w:t>
            </w:r>
            <w:r>
              <w:rPr>
                <w:rFonts w:ascii="Soberana Sans Light" w:hAnsi="Soberana Sans Light" w:cs="Soberana Sans Light"/>
                <w:color w:val="333333"/>
                <w:sz w:val="18"/>
                <w:szCs w:val="18"/>
                <w:lang w:val="es-ES" w:eastAsia="es-MX"/>
              </w:rPr>
              <w:t xml:space="preserve">  De conformidad con lo dispuesto en el artículo 54 de la Ley Federal de Presupuesto y Responsabilidad Hacendaria, las erogaciones previstas en el Presupuesto de Egresos que no se encuentren devengadas al 31 de diciembre, no podrán ejercerse y consecuentemente se deberán reintegrar a la Tesorería de la Federación (TESOFE) dentro de los 15 días naturales siguientes al cierre del ejercicio.   Al respecto, cabe destacar que en el Manual de Contabilidad Gubernamental no se establece el tratamiento y registro contable que deberá aplicarse a los recursos presupuestales antes señalados, determinados al cierre de cada ejercicio presupuestal.   Ante tal situación, siendo que estos recursos constituyen una obligación ineludible para </w:t>
            </w:r>
            <w:r>
              <w:rPr>
                <w:rFonts w:ascii="Soberana Sans Light" w:hAnsi="Soberana Sans Light" w:cs="Soberana Sans Light"/>
                <w:color w:val="333333"/>
                <w:sz w:val="18"/>
                <w:szCs w:val="18"/>
                <w:lang w:val="es-ES" w:eastAsia="es-MX"/>
              </w:rPr>
              <w:lastRenderedPageBreak/>
              <w:t xml:space="preserve">el DIF Sistema para el Desarrollo Integral de la Familia del Municipio de Tepatitlán de Morelos, Jalisco, y en consecuencia una salida de recursos al momento de su cumplimiento, al no poder ejercerlos, a partir del ejercicio fiscal de 2011, se estableció como política contable constituir al cierre de cada ejercicio fiscal un pasivo a favor de la Tesorería de la Federación, por el monto total los recursos presupuestales no devengados al 31 de diciembre, cuyo reintegro se realiza dentro del plazo legal establecido para tal efecto.   Al respecto, se detalla la cifra que integra el remanente presupuestal del ejercicio fiscal de 2017, así como el registro contable aplicado para la constitución del pasivo respectivo al </w:t>
            </w:r>
            <w:r>
              <w:rPr>
                <w:rFonts w:ascii="Soberana Sans Light" w:hAnsi="Soberana Sans Light" w:cs="Soberana Sans Light"/>
                <w:b/>
                <w:bCs/>
                <w:color w:val="333333"/>
                <w:sz w:val="18"/>
                <w:szCs w:val="18"/>
                <w:lang w:val="es-ES" w:eastAsia="es-MX"/>
              </w:rPr>
              <w:t>31 de diciembre de 2017</w:t>
            </w:r>
            <w:r>
              <w:rPr>
                <w:rFonts w:ascii="Soberana Sans Light" w:hAnsi="Soberana Sans Light" w:cs="Soberana Sans Light"/>
                <w:color w:val="333333"/>
                <w:sz w:val="18"/>
                <w:szCs w:val="18"/>
                <w:lang w:val="es-ES" w:eastAsia="es-MX"/>
              </w:rPr>
              <w:t xml:space="preserve">, y el registro contable efectuado por el reintegro a la Tesorería de la Federación a realizarse en el mes de enero de 2017. </w:t>
            </w:r>
            <w:r>
              <w:rPr>
                <w:rFonts w:ascii="Soberana Sans Light" w:hAnsi="Soberana Sans Light" w:cs="Soberana Sans Light"/>
                <w:b/>
                <w:bCs/>
                <w:color w:val="333333"/>
                <w:sz w:val="18"/>
                <w:szCs w:val="18"/>
                <w:lang w:val="es-ES" w:eastAsia="es-MX"/>
              </w:rPr>
              <w:t xml:space="preserve">1.6.2 Registro de Ingresos Excedentes (No presupuestarios). </w:t>
            </w:r>
            <w:r>
              <w:rPr>
                <w:rFonts w:ascii="Soberana Sans Light" w:hAnsi="Soberana Sans Light" w:cs="Soberana Sans Light"/>
                <w:color w:val="333333"/>
                <w:sz w:val="18"/>
                <w:szCs w:val="18"/>
                <w:lang w:val="es-ES" w:eastAsia="es-MX"/>
              </w:rPr>
              <w:t xml:space="preserve">  De acuerdo con lo dispuesto por los artículos 12, V párrafo y 19, fracción IV de la Ley de Ingresos de la Federación, los ingresos que obtenga el DIF Sistema para el Desarrollo Integral de la Familia del Municipio de Tepatitlán de Morelos, Jalisco por cualquier concepto en el rubro correspondiente a la Ley de Ingresos, no se encuentran sujetos al entero inmediato a la Tesorería de la Federación, únicamente se deberán registrar y conservar la documentación comprobatoria de dichos ingresos.   Asimismo, acorde con lo establecido en el artículo 18 de esta misma Ley, los ingresos excedentes antes señalados son susceptibles de ampliación a nuestro presupuesto, en los términos de la Ley Federal de Presupuesto y Responsabilidad Hacendaria y su Reglamento.   Bajo este contexto, a partir del 1º de enero del ejercicio fiscal 2011, se estableció como política contable registrar en la cuenta de pasivo “2118- Devoluciones a la Ley de Ingresos por pagar a Corto Plazo”, los ingresos excedentes que se obtengan durante el ejercicio, y solo en el caso de que la Comisión de Administración autorice su ampliación total o parcial, para su aplicación en alguno de los proyectos y/o programas institucionales, se transferirá del pasivo y se afectará contablemente en la cuenta de ingresos que corresponda; así mismo se aplicará el registro presupuestal de la ampliación líquida en las cuentas contables respectivas.   Por el total de ingresos excedentes no ampliados al 31 de diciembre de cada ejercicio, se efectúa el entero a la Tesorería de la Federación, dentro de los primeros 15 días naturales siguientes al cierre del ejercicio, para la cancelación del saldo del pasivo contable correspondiente. </w:t>
            </w:r>
            <w:r>
              <w:rPr>
                <w:rFonts w:ascii="Soberana Sans Light" w:hAnsi="Soberana Sans Light" w:cs="Soberana Sans Light"/>
                <w:b/>
                <w:bCs/>
                <w:color w:val="333333"/>
                <w:sz w:val="18"/>
                <w:szCs w:val="18"/>
                <w:lang w:val="es-ES" w:eastAsia="es-MX"/>
              </w:rPr>
              <w:t xml:space="preserve">1.6.3 Registro de la recuperación del Presupuesto de Ejercicios Anteriores. </w:t>
            </w:r>
            <w:r>
              <w:rPr>
                <w:rFonts w:ascii="Soberana Sans Light" w:hAnsi="Soberana Sans Light" w:cs="Soberana Sans Light"/>
                <w:color w:val="333333"/>
                <w:sz w:val="18"/>
                <w:szCs w:val="18"/>
                <w:lang w:val="es-ES" w:eastAsia="es-MX"/>
              </w:rPr>
              <w:t xml:space="preserve">  Sobre este rubro, cabe destacar que en el Manual de Contabilidad Gubernamental no se establece el tratamiento y registro contable que deberá aplicarse a los ingresos ocurridos durante el ejercicio en curso, derivados de las diferentes cancelaciones y recuperaciones de recursos presupuestales provenientes de ejercicios anteriores.   En adición a lo anterior, cabe hacer mención que los posibles ingresos que se generen durante el ejercicio en curso, invariablemente tendrán un origen presupuestario, siendo que provienen de un presupuesto de años anteriores cuya vigencia ha concluido, con lo cual en términos de lo dispuesto en el artículo 54 de la Ley Federal de Presupuesto y Responsabilidad Hacendaria, dichos recursos no podrían ejercerse, en consecuencia, deberán reintegrarse a la Tesorería de la Federación.   En este sentido, dichos recursos constituyen una obligación de pago ineludible para este Tribunal Electoral, cuyo reintegro generará una salida de recursos al momento de su cumplimiento.   En consecuencia, a partir del 1º de enero del ejercicio fiscal 2011, se estableció como política contable constituir un pasivo a favor de la Tesorería de la Federación por el monto de los recursos presupuestales provenientes de ejercicios anteriores conforme se generen derivado de las recuperaciones que se presenten en el transcurso del ejercicio, aplicado en la cuenta contable “2118- Devoluciones a la Ley de Ingresos por Pagar a Corto Plazo”, cuyo reintegro a la TESOFE se realiza a la brevedad.               </w:t>
            </w:r>
            <w:r>
              <w:rPr>
                <w:rFonts w:ascii="Soberana Sans Light" w:hAnsi="Soberana Sans Light" w:cs="Soberana Sans Light"/>
                <w:b/>
                <w:bCs/>
                <w:color w:val="333333"/>
                <w:sz w:val="18"/>
                <w:szCs w:val="18"/>
                <w:lang w:val="es-ES" w:eastAsia="es-MX"/>
              </w:rPr>
              <w:t xml:space="preserve">1.6.4 Registro simultaneo del Presupuesto de Egresos Devengado, Ejercido y Pagado al </w:t>
            </w:r>
            <w:r>
              <w:rPr>
                <w:rFonts w:ascii="Soberana Sans Light" w:hAnsi="Soberana Sans Light" w:cs="Soberana Sans Light"/>
                <w:b/>
                <w:bCs/>
                <w:color w:val="333333"/>
                <w:sz w:val="18"/>
                <w:szCs w:val="18"/>
                <w:lang w:val="es-ES" w:eastAsia="es-MX"/>
              </w:rPr>
              <w:lastRenderedPageBreak/>
              <w:t xml:space="preserve">cierre de cada ejercicio. </w:t>
            </w:r>
            <w:r>
              <w:rPr>
                <w:rFonts w:ascii="Soberana Sans Light" w:hAnsi="Soberana Sans Light" w:cs="Soberana Sans Light"/>
                <w:color w:val="333333"/>
                <w:sz w:val="18"/>
                <w:szCs w:val="18"/>
                <w:lang w:val="es-ES" w:eastAsia="es-MX"/>
              </w:rPr>
              <w:t xml:space="preserve">  Acorde con lo establecido en el artículo 5, fracción I, incisos b), d) y 51 tercer párrafo, de la Ley Federal de Presupuesto y Responsabilidad Hacendaria, del DIF Sistema para el Desarrollo Integral de la Familia del Municipio de Tepatitlán de Morelos, Jalisco, dotado de autonomía presupuestaría, con la atribución de ejercer su presupuesto, observando lo dispuesto en dicha Ley.   Por consiguiente, respecto al registro de la etapa del presupuesto, relativa al gasto devengado descrito en el numeral X del Acuerdo por el que se emiten las normas y metodología para la determinación de los momentos contables de los egresos, emitidas por el CONAC, publicadas en el DOF el 20 de agosto de 2009, corresponde a el DIF Sistema para el Desarrollo Integral de la Familia del Municipio de Tepatitlán de Morelos, Jalisco, el reconocimiento y registro de todas y cada una de las obligaciones de pago a favor de terceros generadas por la recepción de conformidad, de bienes, servicios y obras oportunamente contratados en el ejercicio, cuyo pago corresponde única y exclusivamente del DIF Sistema para el Desarrollo Integral de la Familia del Municipio de Tepatitlán de Morelos, Jalisco. Por lo tanto, dichas obligaciones se registran contablemente como parte del pasivo circulante a cargo del propio DIF Sistema para el Desarrollo Integral de la Familia del Municipio de Tepatitlán de Morelos, Jalisco con lo cual no pueden considerarse como adeudos de ejercicios fiscales anteriores.   Con base en todo lo anteriormente expuesto y con fundamento en lo dispuesto por el artículo 54 de la Ley Federal de Presupuesto y Responsabilidad Hacendaria y el artículo 34 de la Ley General de Contabilidad Gubernamental, en uso de la autonomía presupuestaria conferida a este Tribunal Electoral, en la Ley en comento, se estableció como política contable al cierre de cada ejercicio presupuestal, registrar en simultaneo las etapas del presupuesto relativas al Gasto Devengado, Gasto Ejercido y Gasto Pagado, de todas y cada una de las operaciones devengadas en el año pendientes de pago al cierre del ejercicio, derivadas de la recepción de conformidad, de bienes, servicios y obras oportunamente contratados, conforme a la fecha de su realización  independientemente de la fecha de su pago, en las cuentas contables emitidas para tal efecto por el CONAC, reiterando que las obligaciones de pago referidas, en todos los casos constituyen en su totalidad parte del pasivo circulante de este DIF Sistema para el Desarrollo Integral de la Familia del Municipio de Tepatitlán de Morelos, Jalisco, mismo que liquidará con su flujo de efectivo, y en ningún caso pueden constituir adeudos de ejercicios fiscales anteriores a cargo de la Tesorería de la Federación. </w:t>
            </w:r>
            <w:r>
              <w:rPr>
                <w:rFonts w:ascii="Soberana Sans Light" w:hAnsi="Soberana Sans Light" w:cs="Soberana Sans Light"/>
                <w:b/>
                <w:bCs/>
                <w:color w:val="333333"/>
                <w:sz w:val="18"/>
                <w:szCs w:val="18"/>
                <w:lang w:val="es-ES" w:eastAsia="es-MX"/>
              </w:rPr>
              <w:t xml:space="preserve">1.7 Partes Relacionadas. </w:t>
            </w:r>
            <w:r>
              <w:rPr>
                <w:rFonts w:ascii="Soberana Sans Light" w:hAnsi="Soberana Sans Light" w:cs="Soberana Sans Light"/>
                <w:color w:val="333333"/>
                <w:sz w:val="18"/>
                <w:szCs w:val="18"/>
                <w:lang w:val="es-ES" w:eastAsia="es-MX"/>
              </w:rPr>
              <w:t xml:space="preserve">  Con el propósito de dar cumplimiento a lo dispuesto por el artículo 19, fracción V de la Ley General de Contabilidad Gubernamental, se manifiesta que en el caso de este DIF Sistema para el Desarrollo Integral de la Familia del Municipio de Tepatitlán de Morelos, Jalisco no existen partes relacionadas que pudieran ejercer influencia significativa sobre la toma de decisiones financieras y operativas. </w:t>
            </w:r>
            <w:r>
              <w:rPr>
                <w:rFonts w:ascii="Soberana Sans Light" w:hAnsi="Soberana Sans Light" w:cs="Soberana Sans Light"/>
                <w:b/>
                <w:bCs/>
                <w:color w:val="333333"/>
                <w:sz w:val="18"/>
                <w:szCs w:val="18"/>
                <w:lang w:val="es-ES" w:eastAsia="es-MX"/>
              </w:rPr>
              <w:t xml:space="preserve">1.8 Fideicomisos, mandatos y análogos. </w:t>
            </w:r>
            <w:r>
              <w:rPr>
                <w:rFonts w:ascii="Soberana Sans Light" w:hAnsi="Soberana Sans Light" w:cs="Soberana Sans Light"/>
                <w:color w:val="333333"/>
                <w:sz w:val="18"/>
                <w:szCs w:val="18"/>
                <w:lang w:val="es-ES" w:eastAsia="es-MX"/>
              </w:rPr>
              <w:t xml:space="preserve">En lo relativo a fideicomisos, mandatos y análogos, el DIF Sistema para el Desarrollo Integral de la Familia del Municipio de Tepatitlán de Morelos, Jalisco concluye el presente ejercicio sin fideicomiso y/o mandato y/o análogo alguno.  </w:t>
            </w:r>
            <w:r>
              <w:rPr>
                <w:rFonts w:ascii="Soberana Sans Light" w:hAnsi="Soberana Sans Light" w:cs="Soberana Sans Light"/>
                <w:b/>
                <w:bCs/>
                <w:color w:val="333333"/>
                <w:sz w:val="18"/>
                <w:szCs w:val="18"/>
                <w:lang w:val="es-ES" w:eastAsia="es-MX"/>
              </w:rPr>
              <w:t xml:space="preserve">1.9 Principales políticas de control interno. </w:t>
            </w:r>
            <w:r>
              <w:rPr>
                <w:rFonts w:ascii="Soberana Sans Light" w:hAnsi="Soberana Sans Light" w:cs="Soberana Sans Light"/>
                <w:color w:val="333333"/>
                <w:sz w:val="18"/>
                <w:szCs w:val="18"/>
                <w:lang w:val="es-ES" w:eastAsia="es-MX"/>
              </w:rPr>
              <w:t xml:space="preserve">  De conformidad con lo dispuesto por el artículo 99, décimo párrafo, de la Constitución Política de los Estados Unidos Mexicanos; la administración, vigilancia y disciplina en del DIF Sistema para el Desarrollo Integral de la Familia del Municipio de Tepatitlán de Morelos, Jalisco, le corresponde única y exclusivamente a su Comisión de Administración, misma que se encuentra facultada para expedir su Reglamento Interno y emitir los acuerdos generales para el adecuado funcionamiento interno.   En virtud de lo anterior, en el ámbito administrativo, para el adecuado manejo y control de los recursos humanos, materiales y financieros, la Comisión de Administración emitió y autorizó diversa normatividad interna, conformada por Acuerdos, Manuales y Lineamientos, misma que </w:t>
            </w:r>
            <w:r>
              <w:rPr>
                <w:rFonts w:ascii="Soberana Sans Light" w:hAnsi="Soberana Sans Light" w:cs="Soberana Sans Light"/>
                <w:color w:val="333333"/>
                <w:sz w:val="18"/>
                <w:szCs w:val="18"/>
                <w:lang w:val="es-ES" w:eastAsia="es-MX"/>
              </w:rPr>
              <w:lastRenderedPageBreak/>
              <w:t>es de observancia obligatoria para las áreas jurisdiccionales y de apoyo administrativo.   Al respecto, cabe hacer mención que dicha normatividad interna del DIF Sistema para el Desarrollo Integral de la Familia del Municipio de Tepatitlán de Morelos, Jalisco, se encuentra disponible para su consulta en la página oficial https://www.tepatitlan.gob.mx/dif/.</w:t>
            </w:r>
          </w:p>
          <w:p w:rsidR="00AB199D" w:rsidRDefault="00AB199D" w:rsidP="00AB199D">
            <w:pPr>
              <w:autoSpaceDE w:val="0"/>
              <w:autoSpaceDN w:val="0"/>
              <w:adjustRightInd w:val="0"/>
              <w:rPr>
                <w:rFonts w:ascii="Soberana Sans Light" w:hAnsi="Soberana Sans Light" w:cs="Soberana Sans Light"/>
                <w:color w:val="333333"/>
                <w:sz w:val="18"/>
                <w:szCs w:val="18"/>
                <w:lang w:val="es-ES" w:eastAsia="es-MX"/>
              </w:rPr>
            </w:pPr>
            <w:r>
              <w:rPr>
                <w:rFonts w:ascii="Soberana Sans Light" w:hAnsi="Soberana Sans Light" w:cs="Soberana Sans Light"/>
                <w:color w:val="333333"/>
                <w:sz w:val="18"/>
                <w:szCs w:val="18"/>
                <w:lang w:val="es-ES" w:eastAsia="es-MX"/>
              </w:rPr>
              <w:t xml:space="preserve">  </w:t>
            </w:r>
            <w:r w:rsidRPr="00E224F1">
              <w:rPr>
                <w:rFonts w:ascii="Soberana Sans Light" w:hAnsi="Soberana Sans Light" w:cs="Soberana Sans Light"/>
                <w:b/>
                <w:bCs/>
                <w:color w:val="333333"/>
                <w:sz w:val="20"/>
                <w:szCs w:val="20"/>
                <w:lang w:val="es-ES" w:eastAsia="es-MX"/>
              </w:rPr>
              <w:t>2) NOTAS DE DESGLOSE</w:t>
            </w:r>
            <w:r>
              <w:rPr>
                <w:rFonts w:ascii="Soberana Sans Light" w:hAnsi="Soberana Sans Light" w:cs="Soberana Sans Light"/>
                <w:b/>
                <w:bCs/>
                <w:color w:val="333333"/>
                <w:sz w:val="18"/>
                <w:szCs w:val="18"/>
                <w:lang w:val="es-ES" w:eastAsia="es-MX"/>
              </w:rPr>
              <w:t xml:space="preserve"> 2.1 Notas al Estado de Situación Financiera. 2.1.1 Activo. 2.1.1.1 Efectivo y equivalentes. </w:t>
            </w:r>
            <w:r>
              <w:rPr>
                <w:rFonts w:ascii="Soberana Sans Light" w:hAnsi="Soberana Sans Light" w:cs="Soberana Sans Light"/>
                <w:sz w:val="18"/>
                <w:szCs w:val="18"/>
                <w:lang w:val="es-ES" w:eastAsia="es-MX"/>
              </w:rPr>
              <w:t xml:space="preserve">  De conformidad con lo establecido en los “Lineamientos para el manejo de las disponibilidades financieras, la información se desglosa de la siguiente forma, </w:t>
            </w:r>
            <w:r>
              <w:rPr>
                <w:rFonts w:ascii="Times New Roman" w:hAnsi="Times New Roman"/>
                <w:sz w:val="24"/>
                <w:szCs w:val="24"/>
                <w:lang w:val="es-ES" w:eastAsia="es-MX"/>
              </w:rPr>
              <w:t xml:space="preserve"> </w:t>
            </w:r>
            <w:r>
              <w:rPr>
                <w:rFonts w:ascii="Soberana Sans Light" w:hAnsi="Soberana Sans Light" w:cs="Soberana Sans Light"/>
                <w:color w:val="333333"/>
                <w:sz w:val="18"/>
                <w:szCs w:val="18"/>
                <w:lang w:val="es-ES" w:eastAsia="es-MX"/>
              </w:rPr>
              <w:t xml:space="preserve">  a) Los saldos en cuentas bancarias y los excedentes de efectivo o disponibilidades financieras que se tienen en inversión al cierre del periodo que se informa, se integran de la siguiente manera: </w:t>
            </w:r>
            <w:r>
              <w:rPr>
                <w:rFonts w:ascii="Soberana Sans Light" w:hAnsi="Soberana Sans Light" w:cs="Soberana Sans Light"/>
                <w:b/>
                <w:bCs/>
                <w:color w:val="333333"/>
                <w:sz w:val="18"/>
                <w:szCs w:val="18"/>
                <w:lang w:val="es-ES" w:eastAsia="es-MX"/>
              </w:rPr>
              <w:t xml:space="preserve">Institución Financiera Saldo en Bancos Saldo en Inversiones:  </w:t>
            </w:r>
            <w:r>
              <w:rPr>
                <w:rFonts w:ascii="Times New Roman" w:hAnsi="Times New Roman"/>
                <w:sz w:val="24"/>
                <w:szCs w:val="24"/>
                <w:lang w:val="es-ES" w:eastAsia="es-MX"/>
              </w:rPr>
              <w:t xml:space="preserve"> </w:t>
            </w:r>
            <w:r>
              <w:rPr>
                <w:rFonts w:ascii="Soberana Sans Light" w:hAnsi="Soberana Sans Light" w:cs="Soberana Sans Light"/>
                <w:color w:val="333333"/>
                <w:sz w:val="18"/>
                <w:szCs w:val="18"/>
                <w:lang w:val="es-ES" w:eastAsia="es-MX"/>
              </w:rPr>
              <w:t>BBVA BANC</w:t>
            </w:r>
            <w:r w:rsidR="00E224F1">
              <w:rPr>
                <w:rFonts w:ascii="Soberana Sans Light" w:hAnsi="Soberana Sans Light" w:cs="Soberana Sans Light"/>
                <w:color w:val="333333"/>
                <w:sz w:val="18"/>
                <w:szCs w:val="18"/>
                <w:lang w:val="es-ES" w:eastAsia="es-MX"/>
              </w:rPr>
              <w:t>OMER CTA 0191555812- $348,681.90</w:t>
            </w:r>
            <w:r>
              <w:rPr>
                <w:rFonts w:ascii="Soberana Sans Light" w:hAnsi="Soberana Sans Light" w:cs="Soberana Sans Light"/>
                <w:color w:val="333333"/>
                <w:sz w:val="18"/>
                <w:szCs w:val="18"/>
                <w:lang w:val="es-ES" w:eastAsia="es-MX"/>
              </w:rPr>
              <w:t xml:space="preserve">  </w:t>
            </w:r>
            <w:r>
              <w:rPr>
                <w:rFonts w:ascii="Times New Roman" w:hAnsi="Times New Roman"/>
                <w:sz w:val="24"/>
                <w:szCs w:val="24"/>
                <w:lang w:val="es-ES" w:eastAsia="es-MX"/>
              </w:rPr>
              <w:t xml:space="preserve"> </w:t>
            </w:r>
            <w:r w:rsidR="00E224F1">
              <w:rPr>
                <w:rFonts w:ascii="Soberana Sans Light" w:hAnsi="Soberana Sans Light" w:cs="Soberana Sans Light"/>
                <w:color w:val="333333"/>
                <w:sz w:val="18"/>
                <w:szCs w:val="18"/>
                <w:lang w:val="es-ES" w:eastAsia="es-MX"/>
              </w:rPr>
              <w:t xml:space="preserve">Banco del </w:t>
            </w:r>
            <w:proofErr w:type="spellStart"/>
            <w:r w:rsidR="00E224F1">
              <w:rPr>
                <w:rFonts w:ascii="Soberana Sans Light" w:hAnsi="Soberana Sans Light" w:cs="Soberana Sans Light"/>
                <w:color w:val="333333"/>
                <w:sz w:val="18"/>
                <w:szCs w:val="18"/>
                <w:lang w:val="es-ES" w:eastAsia="es-MX"/>
              </w:rPr>
              <w:t>Bajio</w:t>
            </w:r>
            <w:proofErr w:type="spellEnd"/>
            <w:r w:rsidR="00E224F1">
              <w:rPr>
                <w:rFonts w:ascii="Soberana Sans Light" w:hAnsi="Soberana Sans Light" w:cs="Soberana Sans Light"/>
                <w:color w:val="333333"/>
                <w:sz w:val="18"/>
                <w:szCs w:val="18"/>
                <w:lang w:val="es-ES" w:eastAsia="es-MX"/>
              </w:rPr>
              <w:t xml:space="preserve"> $ 59,403.37</w:t>
            </w:r>
            <w:r>
              <w:rPr>
                <w:rFonts w:ascii="Soberana Sans Light" w:hAnsi="Soberana Sans Light" w:cs="Soberana Sans Light"/>
                <w:color w:val="333333"/>
                <w:sz w:val="18"/>
                <w:szCs w:val="18"/>
                <w:lang w:val="es-ES" w:eastAsia="es-MX"/>
              </w:rPr>
              <w:t xml:space="preserve">  </w:t>
            </w:r>
            <w:r>
              <w:rPr>
                <w:rFonts w:ascii="Times New Roman" w:hAnsi="Times New Roman"/>
                <w:sz w:val="24"/>
                <w:szCs w:val="24"/>
                <w:lang w:val="es-ES" w:eastAsia="es-MX"/>
              </w:rPr>
              <w:t xml:space="preserve"> </w:t>
            </w:r>
            <w:proofErr w:type="spellStart"/>
            <w:r w:rsidR="00E224F1">
              <w:rPr>
                <w:rFonts w:ascii="Soberana Sans Light" w:hAnsi="Soberana Sans Light" w:cs="Soberana Sans Light"/>
                <w:color w:val="333333"/>
                <w:sz w:val="18"/>
                <w:szCs w:val="18"/>
                <w:lang w:val="es-ES" w:eastAsia="es-MX"/>
              </w:rPr>
              <w:t>Bansi</w:t>
            </w:r>
            <w:proofErr w:type="spellEnd"/>
            <w:r w:rsidR="00E224F1">
              <w:rPr>
                <w:rFonts w:ascii="Soberana Sans Light" w:hAnsi="Soberana Sans Light" w:cs="Soberana Sans Light"/>
                <w:color w:val="333333"/>
                <w:sz w:val="18"/>
                <w:szCs w:val="18"/>
                <w:lang w:val="es-ES" w:eastAsia="es-MX"/>
              </w:rPr>
              <w:t xml:space="preserve"> $ 1.69  BBVA BANCOMER CTA PERIFERICA 117921632 $37.00 BBVA BANCOMER 0110850624 $ -1124.04 </w:t>
            </w:r>
            <w:r>
              <w:rPr>
                <w:rFonts w:ascii="Soberana Sans Light" w:hAnsi="Soberana Sans Light" w:cs="Soberana Sans Light"/>
                <w:color w:val="333333"/>
                <w:sz w:val="18"/>
                <w:szCs w:val="18"/>
                <w:lang w:val="es-ES" w:eastAsia="es-MX"/>
              </w:rPr>
              <w:t xml:space="preserve">. </w:t>
            </w:r>
            <w:r>
              <w:rPr>
                <w:rFonts w:ascii="Microsoft Sans Serif" w:hAnsi="Microsoft Sans Serif" w:cs="Microsoft Sans Serif"/>
                <w:b/>
                <w:bCs/>
                <w:color w:val="333333"/>
                <w:sz w:val="18"/>
                <w:szCs w:val="18"/>
                <w:lang w:val="es-ES" w:eastAsia="es-MX"/>
              </w:rPr>
              <w:t xml:space="preserve">Inversiones Temporales </w:t>
            </w:r>
            <w:r w:rsidR="00005A72">
              <w:rPr>
                <w:rFonts w:ascii="Soberana Sans Light" w:hAnsi="Soberana Sans Light" w:cs="Soberana Sans Light"/>
                <w:color w:val="333333"/>
                <w:sz w:val="18"/>
                <w:szCs w:val="18"/>
                <w:lang w:val="es-ES" w:eastAsia="es-MX"/>
              </w:rPr>
              <w:t xml:space="preserve">$798.40 </w:t>
            </w:r>
            <w:r>
              <w:rPr>
                <w:rFonts w:ascii="Soberana Sans Light" w:hAnsi="Soberana Sans Light" w:cs="Soberana Sans Light"/>
                <w:color w:val="333333"/>
                <w:sz w:val="18"/>
                <w:szCs w:val="18"/>
                <w:lang w:val="es-ES" w:eastAsia="es-MX"/>
              </w:rPr>
              <w:t xml:space="preserve"> </w:t>
            </w:r>
            <w:r>
              <w:rPr>
                <w:rFonts w:ascii="Soberana Sans Light" w:hAnsi="Soberana Sans Light" w:cs="Soberana Sans Light"/>
                <w:b/>
                <w:bCs/>
                <w:color w:val="333333"/>
                <w:sz w:val="18"/>
                <w:szCs w:val="18"/>
                <w:lang w:val="es-ES" w:eastAsia="es-MX"/>
              </w:rPr>
              <w:t xml:space="preserve">Cuentas por cobrar. </w:t>
            </w:r>
            <w:r>
              <w:rPr>
                <w:rFonts w:ascii="Soberana Sans Light" w:hAnsi="Soberana Sans Light" w:cs="Soberana Sans Light"/>
                <w:color w:val="333333"/>
                <w:sz w:val="18"/>
                <w:szCs w:val="18"/>
                <w:lang w:val="es-ES" w:eastAsia="es-MX"/>
              </w:rPr>
              <w:t xml:space="preserve">  A continuación, se enlistan las cuentas por cobrar registradas en los activos circulantes de del DIF Sistema para el Desarrollo Integral de la Familia del Municipio de Tepatitlán de Morelos, Jalisco al cierre del periodo que se informa, agrupadas por rubro y antigüedad del saldo, como sigue: </w:t>
            </w:r>
            <w:r>
              <w:rPr>
                <w:rFonts w:ascii="Soberana Sans Light" w:hAnsi="Soberana Sans Light" w:cs="Soberana Sans Light"/>
                <w:b/>
                <w:bCs/>
                <w:color w:val="333333"/>
                <w:sz w:val="18"/>
                <w:szCs w:val="18"/>
                <w:lang w:val="es-ES" w:eastAsia="es-MX"/>
              </w:rPr>
              <w:t xml:space="preserve">a) Derechos a recibir Efectivo o Equivalentes: </w:t>
            </w:r>
            <w:r>
              <w:rPr>
                <w:rFonts w:ascii="Arial" w:hAnsi="Arial" w:cs="Arial"/>
                <w:color w:val="333333"/>
                <w:sz w:val="18"/>
                <w:szCs w:val="18"/>
                <w:lang w:val="es-ES" w:eastAsia="es-MX"/>
              </w:rPr>
              <w:t>- deudores diversos $ 1,048.00 ,</w:t>
            </w:r>
            <w:r w:rsidR="00005A72">
              <w:rPr>
                <w:rFonts w:ascii="Arial" w:hAnsi="Arial" w:cs="Arial"/>
                <w:color w:val="333333"/>
                <w:sz w:val="18"/>
                <w:szCs w:val="18"/>
                <w:lang w:val="es-ES" w:eastAsia="es-MX"/>
              </w:rPr>
              <w:t xml:space="preserve"> OPD Hospital Civil de Guadal</w:t>
            </w:r>
            <w:r w:rsidR="00E43250">
              <w:rPr>
                <w:rFonts w:ascii="Arial" w:hAnsi="Arial" w:cs="Arial"/>
                <w:color w:val="333333"/>
                <w:sz w:val="18"/>
                <w:szCs w:val="18"/>
                <w:lang w:val="es-ES" w:eastAsia="es-MX"/>
              </w:rPr>
              <w:t>a</w:t>
            </w:r>
            <w:r w:rsidR="00005A72">
              <w:rPr>
                <w:rFonts w:ascii="Arial" w:hAnsi="Arial" w:cs="Arial"/>
                <w:color w:val="333333"/>
                <w:sz w:val="18"/>
                <w:szCs w:val="18"/>
                <w:lang w:val="es-ES" w:eastAsia="es-MX"/>
              </w:rPr>
              <w:t xml:space="preserve">jara $ 22,040.00 y Desayunos y Despensas </w:t>
            </w:r>
            <w:proofErr w:type="spellStart"/>
            <w:r w:rsidR="00005A72">
              <w:rPr>
                <w:rFonts w:ascii="Arial" w:hAnsi="Arial" w:cs="Arial"/>
                <w:color w:val="333333"/>
                <w:sz w:val="18"/>
                <w:szCs w:val="18"/>
                <w:lang w:val="es-ES" w:eastAsia="es-MX"/>
              </w:rPr>
              <w:t>DIf</w:t>
            </w:r>
            <w:proofErr w:type="spellEnd"/>
            <w:r w:rsidR="00005A72">
              <w:rPr>
                <w:rFonts w:ascii="Arial" w:hAnsi="Arial" w:cs="Arial"/>
                <w:color w:val="333333"/>
                <w:sz w:val="18"/>
                <w:szCs w:val="18"/>
                <w:lang w:val="es-ES" w:eastAsia="es-MX"/>
              </w:rPr>
              <w:t xml:space="preserve"> Jalisco $ 9181.00 , Loza </w:t>
            </w:r>
            <w:r w:rsidR="00E43250">
              <w:rPr>
                <w:rFonts w:ascii="Arial" w:hAnsi="Arial" w:cs="Arial"/>
                <w:color w:val="333333"/>
                <w:sz w:val="18"/>
                <w:szCs w:val="18"/>
                <w:lang w:val="es-ES" w:eastAsia="es-MX"/>
              </w:rPr>
              <w:t>Yáñez</w:t>
            </w:r>
            <w:r w:rsidR="00005A72">
              <w:rPr>
                <w:rFonts w:ascii="Arial" w:hAnsi="Arial" w:cs="Arial"/>
                <w:color w:val="333333"/>
                <w:sz w:val="18"/>
                <w:szCs w:val="18"/>
                <w:lang w:val="es-ES" w:eastAsia="es-MX"/>
              </w:rPr>
              <w:t xml:space="preserve"> </w:t>
            </w:r>
            <w:r w:rsidR="00E43250">
              <w:rPr>
                <w:rFonts w:ascii="Arial" w:hAnsi="Arial" w:cs="Arial"/>
                <w:color w:val="333333"/>
                <w:sz w:val="18"/>
                <w:szCs w:val="18"/>
                <w:lang w:val="es-ES" w:eastAsia="es-MX"/>
              </w:rPr>
              <w:t>Rubí</w:t>
            </w:r>
            <w:r w:rsidR="00005A72">
              <w:rPr>
                <w:rFonts w:ascii="Arial" w:hAnsi="Arial" w:cs="Arial"/>
                <w:color w:val="333333"/>
                <w:sz w:val="18"/>
                <w:szCs w:val="18"/>
                <w:lang w:val="es-ES" w:eastAsia="es-MX"/>
              </w:rPr>
              <w:t xml:space="preserve"> $ 1703.03 y </w:t>
            </w:r>
            <w:r w:rsidR="00E43250">
              <w:rPr>
                <w:rFonts w:ascii="Arial" w:hAnsi="Arial" w:cs="Arial"/>
                <w:color w:val="333333"/>
                <w:sz w:val="18"/>
                <w:szCs w:val="18"/>
                <w:lang w:val="es-ES" w:eastAsia="es-MX"/>
              </w:rPr>
              <w:t>González</w:t>
            </w:r>
            <w:r w:rsidR="00005A72">
              <w:rPr>
                <w:rFonts w:ascii="Arial" w:hAnsi="Arial" w:cs="Arial"/>
                <w:color w:val="333333"/>
                <w:sz w:val="18"/>
                <w:szCs w:val="18"/>
                <w:lang w:val="es-ES" w:eastAsia="es-MX"/>
              </w:rPr>
              <w:t xml:space="preserve"> </w:t>
            </w:r>
            <w:r w:rsidR="00E43250">
              <w:rPr>
                <w:rFonts w:ascii="Arial" w:hAnsi="Arial" w:cs="Arial"/>
                <w:color w:val="333333"/>
                <w:sz w:val="18"/>
                <w:szCs w:val="18"/>
                <w:lang w:val="es-ES" w:eastAsia="es-MX"/>
              </w:rPr>
              <w:t>Hernández</w:t>
            </w:r>
            <w:r w:rsidR="00005A72">
              <w:rPr>
                <w:rFonts w:ascii="Arial" w:hAnsi="Arial" w:cs="Arial"/>
                <w:color w:val="333333"/>
                <w:sz w:val="18"/>
                <w:szCs w:val="18"/>
                <w:lang w:val="es-ES" w:eastAsia="es-MX"/>
              </w:rPr>
              <w:t xml:space="preserve"> Beatriz $ 1635.94 </w:t>
            </w:r>
            <w:r>
              <w:rPr>
                <w:rFonts w:ascii="Arial" w:hAnsi="Arial" w:cs="Arial"/>
                <w:color w:val="333333"/>
                <w:sz w:val="18"/>
                <w:szCs w:val="18"/>
                <w:lang w:val="es-ES" w:eastAsia="es-MX"/>
              </w:rPr>
              <w:t xml:space="preserve"> cuenta  por pagar - </w:t>
            </w:r>
            <w:r>
              <w:rPr>
                <w:rFonts w:ascii="Soberana Sans Light" w:hAnsi="Soberana Sans Light" w:cs="Soberana Sans Light"/>
                <w:color w:val="333333"/>
                <w:sz w:val="18"/>
                <w:szCs w:val="18"/>
                <w:lang w:val="es-ES" w:eastAsia="es-MX"/>
              </w:rPr>
              <w:t>Mari</w:t>
            </w:r>
            <w:r w:rsidR="00005A72">
              <w:rPr>
                <w:rFonts w:ascii="Soberana Sans Light" w:hAnsi="Soberana Sans Light" w:cs="Soberana Sans Light"/>
                <w:color w:val="333333"/>
                <w:sz w:val="18"/>
                <w:szCs w:val="18"/>
                <w:lang w:val="es-ES" w:eastAsia="es-MX"/>
              </w:rPr>
              <w:t>o Alberto Martin Carrillo 164.84</w:t>
            </w:r>
            <w:r>
              <w:rPr>
                <w:rFonts w:ascii="Soberana Sans Light" w:hAnsi="Soberana Sans Light" w:cs="Soberana Sans Light"/>
                <w:color w:val="333333"/>
                <w:sz w:val="18"/>
                <w:szCs w:val="18"/>
                <w:lang w:val="es-ES" w:eastAsia="es-MX"/>
              </w:rPr>
              <w:t xml:space="preserve"> </w:t>
            </w:r>
            <w:r>
              <w:rPr>
                <w:rFonts w:ascii="Times New Roman" w:hAnsi="Times New Roman"/>
                <w:sz w:val="24"/>
                <w:szCs w:val="24"/>
                <w:lang w:val="es-ES" w:eastAsia="es-MX"/>
              </w:rPr>
              <w:t xml:space="preserve"> </w:t>
            </w:r>
            <w:r>
              <w:rPr>
                <w:rFonts w:ascii="Arial" w:hAnsi="Arial" w:cs="Arial"/>
                <w:color w:val="333333"/>
                <w:sz w:val="18"/>
                <w:szCs w:val="18"/>
                <w:lang w:val="es-ES" w:eastAsia="es-MX"/>
              </w:rPr>
              <w:t xml:space="preserve">- </w:t>
            </w:r>
            <w:proofErr w:type="spellStart"/>
            <w:r>
              <w:rPr>
                <w:rFonts w:ascii="Soberana Sans Light" w:hAnsi="Soberana Sans Light" w:cs="Soberana Sans Light"/>
                <w:color w:val="333333"/>
                <w:sz w:val="18"/>
                <w:szCs w:val="18"/>
                <w:lang w:val="es-ES" w:eastAsia="es-MX"/>
              </w:rPr>
              <w:t>Keyra</w:t>
            </w:r>
            <w:proofErr w:type="spellEnd"/>
            <w:r>
              <w:rPr>
                <w:rFonts w:ascii="Soberana Sans Light" w:hAnsi="Soberana Sans Light" w:cs="Soberana Sans Light"/>
                <w:color w:val="333333"/>
                <w:sz w:val="18"/>
                <w:szCs w:val="18"/>
                <w:lang w:val="es-ES" w:eastAsia="es-MX"/>
              </w:rPr>
              <w:t xml:space="preserve"> María Angulo Contreras 2,817.94 00</w:t>
            </w:r>
            <w:r>
              <w:rPr>
                <w:rFonts w:ascii="Times New Roman" w:hAnsi="Times New Roman"/>
                <w:sz w:val="24"/>
                <w:szCs w:val="24"/>
                <w:lang w:val="es-ES" w:eastAsia="es-MX"/>
              </w:rPr>
              <w:t xml:space="preserve"> </w:t>
            </w:r>
            <w:r>
              <w:rPr>
                <w:rFonts w:ascii="Arial" w:hAnsi="Arial" w:cs="Arial"/>
                <w:color w:val="333333"/>
                <w:sz w:val="18"/>
                <w:szCs w:val="18"/>
                <w:lang w:val="es-ES" w:eastAsia="es-MX"/>
              </w:rPr>
              <w:t xml:space="preserve">- </w:t>
            </w:r>
            <w:r>
              <w:rPr>
                <w:rFonts w:ascii="Soberana Sans Light" w:hAnsi="Soberana Sans Light" w:cs="Soberana Sans Light"/>
                <w:color w:val="333333"/>
                <w:sz w:val="18"/>
                <w:szCs w:val="18"/>
                <w:lang w:val="es-ES" w:eastAsia="es-MX"/>
              </w:rPr>
              <w:t xml:space="preserve">DIF </w:t>
            </w:r>
            <w:proofErr w:type="spellStart"/>
            <w:r>
              <w:rPr>
                <w:rFonts w:ascii="Soberana Sans Light" w:hAnsi="Soberana Sans Light" w:cs="Soberana Sans Light"/>
                <w:color w:val="333333"/>
                <w:sz w:val="18"/>
                <w:szCs w:val="18"/>
                <w:lang w:val="es-ES" w:eastAsia="es-MX"/>
              </w:rPr>
              <w:t>Jalostotitlán</w:t>
            </w:r>
            <w:proofErr w:type="spellEnd"/>
            <w:r>
              <w:rPr>
                <w:rFonts w:ascii="Soberana Sans Light" w:hAnsi="Soberana Sans Light" w:cs="Soberana Sans Light"/>
                <w:color w:val="333333"/>
                <w:sz w:val="18"/>
                <w:szCs w:val="18"/>
                <w:lang w:val="es-ES" w:eastAsia="es-MX"/>
              </w:rPr>
              <w:t xml:space="preserve"> 2,017.69  </w:t>
            </w:r>
            <w:r>
              <w:rPr>
                <w:rFonts w:ascii="Times New Roman" w:hAnsi="Times New Roman"/>
                <w:sz w:val="24"/>
                <w:szCs w:val="24"/>
                <w:lang w:val="es-ES" w:eastAsia="es-MX"/>
              </w:rPr>
              <w:t xml:space="preserve"> </w:t>
            </w:r>
            <w:r>
              <w:rPr>
                <w:rFonts w:ascii="Arial" w:hAnsi="Arial" w:cs="Arial"/>
                <w:color w:val="333333"/>
                <w:sz w:val="18"/>
                <w:szCs w:val="18"/>
                <w:lang w:val="es-ES" w:eastAsia="es-MX"/>
              </w:rPr>
              <w:t xml:space="preserve">- </w:t>
            </w:r>
            <w:r>
              <w:rPr>
                <w:rFonts w:ascii="Soberana Sans Light" w:hAnsi="Soberana Sans Light" w:cs="Soberana Sans Light"/>
                <w:color w:val="333333"/>
                <w:sz w:val="18"/>
                <w:szCs w:val="18"/>
                <w:lang w:val="es-ES" w:eastAsia="es-MX"/>
              </w:rPr>
              <w:t xml:space="preserve">OTROS PASIVOS DIFERIDOS A LARGO PLAZO 58,986.76 0.00 58,986.76 </w:t>
            </w:r>
            <w:r>
              <w:rPr>
                <w:rFonts w:ascii="Soberana Sans Light" w:hAnsi="Soberana Sans Light" w:cs="Soberana Sans Light"/>
                <w:b/>
                <w:bCs/>
                <w:color w:val="333333"/>
                <w:sz w:val="18"/>
                <w:szCs w:val="18"/>
                <w:lang w:val="es-ES" w:eastAsia="es-MX"/>
              </w:rPr>
              <w:t xml:space="preserve"> 2.1.1.3 Almacenes. </w:t>
            </w:r>
            <w:r>
              <w:rPr>
                <w:rFonts w:ascii="Soberana Sans Light" w:hAnsi="Soberana Sans Light" w:cs="Soberana Sans Light"/>
                <w:color w:val="333333"/>
                <w:sz w:val="18"/>
                <w:szCs w:val="18"/>
                <w:lang w:val="es-ES" w:eastAsia="es-MX"/>
              </w:rPr>
              <w:t xml:space="preserve">  El DIF Sistema para el Desarrollo Integral de la Familia del Municipio de Tepatitlán de Morelos, Jalisco, no maneja algún almacén ya que todos los insumos se consumen al instante. </w:t>
            </w:r>
            <w:r>
              <w:rPr>
                <w:rFonts w:ascii="Soberana Sans Light" w:hAnsi="Soberana Sans Light" w:cs="Soberana Sans Light"/>
                <w:b/>
                <w:bCs/>
                <w:color w:val="333333"/>
                <w:sz w:val="18"/>
                <w:szCs w:val="18"/>
                <w:lang w:val="es-ES" w:eastAsia="es-MX"/>
              </w:rPr>
              <w:t xml:space="preserve">2.1.1.4 Bienes Inmuebles, Infraestructura y Construcciones en proceso. </w:t>
            </w:r>
            <w:r>
              <w:rPr>
                <w:rFonts w:ascii="Soberana Sans Light" w:hAnsi="Soberana Sans Light" w:cs="Soberana Sans Light"/>
                <w:color w:val="333333"/>
                <w:sz w:val="18"/>
                <w:szCs w:val="18"/>
                <w:lang w:val="es-ES" w:eastAsia="es-MX"/>
              </w:rPr>
              <w:t xml:space="preserve">Los activos no circulantes del DIF Sistema para el Desarrollo Integral de la Familia del Municipio de Tepatitlán de Morelos, Jalisco se registran a su costo de adquisición, por tal motivo el saldo que se presenta en el rubro de bienes inmuebles y construcciones en proceso reflejan el costo histórico de dichos activos; el saldo al 31 de diciembre de 2017 se encuentra integrado de la siguiente manera: </w:t>
            </w:r>
            <w:r>
              <w:rPr>
                <w:rFonts w:ascii="Soberana Sans Light" w:hAnsi="Soberana Sans Light" w:cs="Soberana Sans Light"/>
                <w:b/>
                <w:bCs/>
                <w:color w:val="333333"/>
                <w:sz w:val="18"/>
                <w:szCs w:val="18"/>
                <w:lang w:val="es-ES" w:eastAsia="es-MX"/>
              </w:rPr>
              <w:t xml:space="preserve">Descripción Saldo </w:t>
            </w:r>
            <w:r>
              <w:rPr>
                <w:rFonts w:ascii="Times New Roman" w:hAnsi="Times New Roman"/>
                <w:sz w:val="24"/>
                <w:szCs w:val="24"/>
                <w:lang w:val="es-ES" w:eastAsia="es-MX"/>
              </w:rPr>
              <w:t xml:space="preserve"> </w:t>
            </w:r>
            <w:r>
              <w:rPr>
                <w:rFonts w:ascii="Arial" w:hAnsi="Arial" w:cs="Arial"/>
                <w:color w:val="333333"/>
                <w:sz w:val="18"/>
                <w:szCs w:val="18"/>
                <w:lang w:val="es-ES" w:eastAsia="es-MX"/>
              </w:rPr>
              <w:t xml:space="preserve">- </w:t>
            </w:r>
            <w:r>
              <w:rPr>
                <w:rFonts w:ascii="Soberana Sans Light" w:hAnsi="Soberana Sans Light" w:cs="Soberana Sans Light"/>
                <w:color w:val="333333"/>
                <w:sz w:val="18"/>
                <w:szCs w:val="18"/>
                <w:lang w:val="es-ES" w:eastAsia="es-MX"/>
              </w:rPr>
              <w:t xml:space="preserve">Ampliaciones y Mejoras 14,065.85 </w:t>
            </w:r>
            <w:r>
              <w:rPr>
                <w:rFonts w:ascii="Times New Roman" w:hAnsi="Times New Roman"/>
                <w:sz w:val="24"/>
                <w:szCs w:val="24"/>
                <w:lang w:val="es-ES" w:eastAsia="es-MX"/>
              </w:rPr>
              <w:t xml:space="preserve"> </w:t>
            </w:r>
            <w:r>
              <w:rPr>
                <w:rFonts w:ascii="Arial" w:hAnsi="Arial" w:cs="Arial"/>
                <w:color w:val="333333"/>
                <w:sz w:val="18"/>
                <w:szCs w:val="18"/>
                <w:lang w:val="es-ES" w:eastAsia="es-MX"/>
              </w:rPr>
              <w:t xml:space="preserve">- </w:t>
            </w:r>
            <w:r>
              <w:rPr>
                <w:rFonts w:ascii="Soberana Sans Light" w:hAnsi="Soberana Sans Light" w:cs="Soberana Sans Light"/>
                <w:color w:val="333333"/>
                <w:sz w:val="18"/>
                <w:szCs w:val="18"/>
                <w:lang w:val="es-ES" w:eastAsia="es-MX"/>
              </w:rPr>
              <w:t xml:space="preserve">Cuarto de Velador 2,700.33 </w:t>
            </w:r>
            <w:r>
              <w:rPr>
                <w:rFonts w:ascii="Times New Roman" w:hAnsi="Times New Roman"/>
                <w:sz w:val="24"/>
                <w:szCs w:val="24"/>
                <w:lang w:val="es-ES" w:eastAsia="es-MX"/>
              </w:rPr>
              <w:t xml:space="preserve"> </w:t>
            </w:r>
            <w:r>
              <w:rPr>
                <w:rFonts w:ascii="Arial" w:hAnsi="Arial" w:cs="Arial"/>
                <w:color w:val="333333"/>
                <w:sz w:val="18"/>
                <w:szCs w:val="18"/>
                <w:lang w:val="es-ES" w:eastAsia="es-MX"/>
              </w:rPr>
              <w:t xml:space="preserve">- </w:t>
            </w:r>
            <w:r>
              <w:rPr>
                <w:rFonts w:ascii="Soberana Sans Light" w:hAnsi="Soberana Sans Light" w:cs="Soberana Sans Light"/>
                <w:color w:val="333333"/>
                <w:sz w:val="18"/>
                <w:szCs w:val="18"/>
                <w:lang w:val="es-ES" w:eastAsia="es-MX"/>
              </w:rPr>
              <w:t xml:space="preserve">Refugios Temporales 9,428.00 </w:t>
            </w:r>
            <w:r>
              <w:rPr>
                <w:rFonts w:ascii="Times New Roman" w:hAnsi="Times New Roman"/>
                <w:sz w:val="24"/>
                <w:szCs w:val="24"/>
                <w:lang w:val="es-ES" w:eastAsia="es-MX"/>
              </w:rPr>
              <w:t xml:space="preserve"> </w:t>
            </w:r>
            <w:r>
              <w:rPr>
                <w:rFonts w:ascii="Arial" w:hAnsi="Arial" w:cs="Arial"/>
                <w:color w:val="333333"/>
                <w:sz w:val="18"/>
                <w:szCs w:val="18"/>
                <w:lang w:val="es-ES" w:eastAsia="es-MX"/>
              </w:rPr>
              <w:t xml:space="preserve">- </w:t>
            </w:r>
            <w:r>
              <w:rPr>
                <w:rFonts w:ascii="Soberana Sans Light" w:hAnsi="Soberana Sans Light" w:cs="Soberana Sans Light"/>
                <w:color w:val="333333"/>
                <w:sz w:val="18"/>
                <w:szCs w:val="18"/>
                <w:lang w:val="es-ES" w:eastAsia="es-MX"/>
              </w:rPr>
              <w:t xml:space="preserve">Materiales para Construcción 22,000.65 </w:t>
            </w:r>
            <w:r>
              <w:rPr>
                <w:rFonts w:ascii="Times New Roman" w:hAnsi="Times New Roman"/>
                <w:sz w:val="24"/>
                <w:szCs w:val="24"/>
                <w:lang w:val="es-ES" w:eastAsia="es-MX"/>
              </w:rPr>
              <w:t xml:space="preserve"> </w:t>
            </w:r>
            <w:r>
              <w:rPr>
                <w:rFonts w:ascii="Arial" w:hAnsi="Arial" w:cs="Arial"/>
                <w:color w:val="333333"/>
                <w:sz w:val="18"/>
                <w:szCs w:val="18"/>
                <w:lang w:val="es-ES" w:eastAsia="es-MX"/>
              </w:rPr>
              <w:t xml:space="preserve">- </w:t>
            </w:r>
            <w:r>
              <w:rPr>
                <w:rFonts w:ascii="Soberana Sans Light" w:hAnsi="Soberana Sans Light" w:cs="Soberana Sans Light"/>
                <w:color w:val="333333"/>
                <w:sz w:val="18"/>
                <w:szCs w:val="18"/>
                <w:lang w:val="es-ES" w:eastAsia="es-MX"/>
              </w:rPr>
              <w:t xml:space="preserve">Cocina 96,033.37 </w:t>
            </w:r>
            <w:r>
              <w:rPr>
                <w:rFonts w:ascii="Times New Roman" w:hAnsi="Times New Roman"/>
                <w:sz w:val="24"/>
                <w:szCs w:val="24"/>
                <w:lang w:val="es-ES" w:eastAsia="es-MX"/>
              </w:rPr>
              <w:t xml:space="preserve"> </w:t>
            </w:r>
            <w:r>
              <w:rPr>
                <w:rFonts w:ascii="Soberana Sans Light" w:hAnsi="Soberana Sans Light" w:cs="Soberana Sans Light"/>
                <w:b/>
                <w:bCs/>
                <w:color w:val="333333"/>
                <w:sz w:val="18"/>
                <w:szCs w:val="18"/>
                <w:lang w:val="es-ES" w:eastAsia="es-MX"/>
              </w:rPr>
              <w:t xml:space="preserve">Total 144,228.2 </w:t>
            </w:r>
            <w:r>
              <w:rPr>
                <w:rFonts w:ascii="Times New Roman" w:hAnsi="Times New Roman"/>
                <w:sz w:val="24"/>
                <w:szCs w:val="24"/>
                <w:lang w:val="es-ES" w:eastAsia="es-MX"/>
              </w:rPr>
              <w:t xml:space="preserve"> </w:t>
            </w:r>
            <w:r>
              <w:rPr>
                <w:rFonts w:ascii="Soberana Sans Light" w:hAnsi="Soberana Sans Light" w:cs="Soberana Sans Light"/>
                <w:color w:val="333333"/>
                <w:sz w:val="18"/>
                <w:szCs w:val="18"/>
                <w:lang w:val="es-ES" w:eastAsia="es-MX"/>
              </w:rPr>
              <w:t xml:space="preserve">  </w:t>
            </w:r>
            <w:r>
              <w:rPr>
                <w:rFonts w:ascii="Soberana Sans Light" w:hAnsi="Soberana Sans Light" w:cs="Soberana Sans Light"/>
                <w:b/>
                <w:bCs/>
                <w:color w:val="333333"/>
                <w:sz w:val="18"/>
                <w:szCs w:val="18"/>
                <w:lang w:val="es-ES" w:eastAsia="es-MX"/>
              </w:rPr>
              <w:t xml:space="preserve">2.1.1.5 Bienes Muebles. </w:t>
            </w:r>
            <w:r>
              <w:rPr>
                <w:rFonts w:ascii="Soberana Sans Light" w:hAnsi="Soberana Sans Light" w:cs="Soberana Sans Light"/>
                <w:color w:val="333333"/>
                <w:sz w:val="18"/>
                <w:szCs w:val="18"/>
                <w:lang w:val="es-ES" w:eastAsia="es-MX"/>
              </w:rPr>
              <w:t xml:space="preserve">  En el caso de los bienes muebles, al igual que el rubro anterior, se registran a su costo de adquisición, por tal motivo el saldo que se presenta refleja el costo histórico de dichos activos; el saldo al 31 de diciembre de 201, se integra como sigue: </w:t>
            </w:r>
            <w:r>
              <w:rPr>
                <w:rFonts w:ascii="Soberana Sans Light" w:hAnsi="Soberana Sans Light" w:cs="Soberana Sans Light"/>
                <w:b/>
                <w:bCs/>
                <w:color w:val="333333"/>
                <w:sz w:val="18"/>
                <w:szCs w:val="18"/>
                <w:lang w:val="es-ES" w:eastAsia="es-MX"/>
              </w:rPr>
              <w:t xml:space="preserve">Descripción Saldo  </w:t>
            </w:r>
            <w:r>
              <w:rPr>
                <w:rFonts w:ascii="Times New Roman" w:hAnsi="Times New Roman"/>
                <w:sz w:val="24"/>
                <w:szCs w:val="24"/>
                <w:lang w:val="es-ES" w:eastAsia="es-MX"/>
              </w:rPr>
              <w:t xml:space="preserve"> </w:t>
            </w:r>
            <w:r>
              <w:rPr>
                <w:rFonts w:ascii="Arial" w:hAnsi="Arial" w:cs="Arial"/>
                <w:color w:val="333333"/>
                <w:sz w:val="18"/>
                <w:szCs w:val="18"/>
                <w:lang w:val="es-ES" w:eastAsia="es-MX"/>
              </w:rPr>
              <w:t xml:space="preserve">- </w:t>
            </w:r>
            <w:r>
              <w:rPr>
                <w:rFonts w:ascii="Soberana Sans Light" w:hAnsi="Soberana Sans Light" w:cs="Soberana Sans Light"/>
                <w:color w:val="333333"/>
                <w:sz w:val="18"/>
                <w:szCs w:val="18"/>
                <w:lang w:val="es-ES" w:eastAsia="es-MX"/>
              </w:rPr>
              <w:t>Mobiliario y equipo 1,</w:t>
            </w:r>
            <w:r w:rsidR="00005A72">
              <w:rPr>
                <w:rFonts w:ascii="Soberana Sans Light" w:hAnsi="Soberana Sans Light" w:cs="Soberana Sans Light"/>
                <w:color w:val="333333"/>
                <w:sz w:val="18"/>
                <w:szCs w:val="18"/>
                <w:lang w:val="es-ES" w:eastAsia="es-MX"/>
              </w:rPr>
              <w:t>527,404.37</w:t>
            </w:r>
            <w:r>
              <w:rPr>
                <w:rFonts w:ascii="Times New Roman" w:hAnsi="Times New Roman"/>
                <w:sz w:val="24"/>
                <w:szCs w:val="24"/>
                <w:lang w:val="es-ES" w:eastAsia="es-MX"/>
              </w:rPr>
              <w:t xml:space="preserve"> </w:t>
            </w:r>
            <w:r>
              <w:rPr>
                <w:rFonts w:ascii="Arial" w:hAnsi="Arial" w:cs="Arial"/>
                <w:color w:val="333333"/>
                <w:sz w:val="18"/>
                <w:szCs w:val="18"/>
                <w:lang w:val="es-ES" w:eastAsia="es-MX"/>
              </w:rPr>
              <w:t xml:space="preserve">- </w:t>
            </w:r>
            <w:r>
              <w:rPr>
                <w:rFonts w:ascii="Soberana Sans Light" w:hAnsi="Soberana Sans Light" w:cs="Soberana Sans Light"/>
                <w:color w:val="333333"/>
                <w:sz w:val="18"/>
                <w:szCs w:val="18"/>
                <w:lang w:val="es-ES" w:eastAsia="es-MX"/>
              </w:rPr>
              <w:t xml:space="preserve">Equipo e Instrumental Médico 680,500.96 </w:t>
            </w:r>
            <w:r>
              <w:rPr>
                <w:rFonts w:ascii="Times New Roman" w:hAnsi="Times New Roman"/>
                <w:sz w:val="24"/>
                <w:szCs w:val="24"/>
                <w:lang w:val="es-ES" w:eastAsia="es-MX"/>
              </w:rPr>
              <w:t xml:space="preserve"> </w:t>
            </w:r>
            <w:r>
              <w:rPr>
                <w:rFonts w:ascii="Arial" w:hAnsi="Arial" w:cs="Arial"/>
                <w:color w:val="333333"/>
                <w:sz w:val="18"/>
                <w:szCs w:val="18"/>
                <w:lang w:val="es-ES" w:eastAsia="es-MX"/>
              </w:rPr>
              <w:t xml:space="preserve">- </w:t>
            </w:r>
            <w:r>
              <w:rPr>
                <w:rFonts w:ascii="Soberana Sans Light" w:hAnsi="Soberana Sans Light" w:cs="Soberana Sans Light"/>
                <w:color w:val="333333"/>
                <w:sz w:val="18"/>
                <w:szCs w:val="18"/>
                <w:lang w:val="es-ES" w:eastAsia="es-MX"/>
              </w:rPr>
              <w:t>Equipo de transporte 643,900.00</w:t>
            </w:r>
            <w:r>
              <w:rPr>
                <w:rFonts w:ascii="Times New Roman" w:hAnsi="Times New Roman"/>
                <w:sz w:val="24"/>
                <w:szCs w:val="24"/>
                <w:lang w:val="es-ES" w:eastAsia="es-MX"/>
              </w:rPr>
              <w:t xml:space="preserve"> </w:t>
            </w:r>
            <w:r>
              <w:rPr>
                <w:rFonts w:ascii="Soberana Sans Light" w:hAnsi="Soberana Sans Light" w:cs="Soberana Sans Light"/>
                <w:b/>
                <w:bCs/>
                <w:color w:val="333333"/>
                <w:sz w:val="18"/>
                <w:szCs w:val="18"/>
                <w:lang w:val="es-ES" w:eastAsia="es-MX"/>
              </w:rPr>
              <w:t xml:space="preserve">Total 2’698,564.80 , se </w:t>
            </w:r>
            <w:r w:rsidR="000B1D8E">
              <w:rPr>
                <w:rFonts w:ascii="Soberana Sans Light" w:hAnsi="Soberana Sans Light" w:cs="Soberana Sans Light"/>
                <w:b/>
                <w:bCs/>
                <w:color w:val="333333"/>
                <w:sz w:val="18"/>
                <w:szCs w:val="18"/>
                <w:lang w:val="es-ES" w:eastAsia="es-MX"/>
              </w:rPr>
              <w:t>aplicó</w:t>
            </w:r>
            <w:r>
              <w:rPr>
                <w:rFonts w:ascii="Soberana Sans Light" w:hAnsi="Soberana Sans Light" w:cs="Soberana Sans Light"/>
                <w:b/>
                <w:bCs/>
                <w:color w:val="333333"/>
                <w:sz w:val="18"/>
                <w:szCs w:val="18"/>
                <w:lang w:val="es-ES" w:eastAsia="es-MX"/>
              </w:rPr>
              <w:t xml:space="preserve"> el </w:t>
            </w:r>
            <w:r w:rsidR="000B1D8E">
              <w:rPr>
                <w:rFonts w:ascii="Soberana Sans Light" w:hAnsi="Soberana Sans Light" w:cs="Soberana Sans Light"/>
                <w:b/>
                <w:bCs/>
                <w:color w:val="333333"/>
                <w:sz w:val="18"/>
                <w:szCs w:val="18"/>
                <w:lang w:val="es-ES" w:eastAsia="es-MX"/>
              </w:rPr>
              <w:t>cálculo</w:t>
            </w:r>
            <w:r>
              <w:rPr>
                <w:rFonts w:ascii="Soberana Sans Light" w:hAnsi="Soberana Sans Light" w:cs="Soberana Sans Light"/>
                <w:b/>
                <w:bCs/>
                <w:color w:val="333333"/>
                <w:sz w:val="18"/>
                <w:szCs w:val="18"/>
                <w:lang w:val="es-ES" w:eastAsia="es-MX"/>
              </w:rPr>
              <w:t xml:space="preserve"> de la depreciaciones de </w:t>
            </w:r>
            <w:r w:rsidR="000B1D8E">
              <w:rPr>
                <w:rFonts w:ascii="Soberana Sans Light" w:hAnsi="Soberana Sans Light" w:cs="Soberana Sans Light"/>
                <w:b/>
                <w:bCs/>
                <w:color w:val="333333"/>
                <w:sz w:val="18"/>
                <w:szCs w:val="18"/>
                <w:lang w:val="es-ES" w:eastAsia="es-MX"/>
              </w:rPr>
              <w:t>Bienes</w:t>
            </w:r>
            <w:r>
              <w:rPr>
                <w:rFonts w:ascii="Soberana Sans Light" w:hAnsi="Soberana Sans Light" w:cs="Soberana Sans Light"/>
                <w:b/>
                <w:bCs/>
                <w:color w:val="333333"/>
                <w:sz w:val="18"/>
                <w:szCs w:val="18"/>
                <w:lang w:val="es-ES" w:eastAsia="es-MX"/>
              </w:rPr>
              <w:t xml:space="preserve"> Muebles del </w:t>
            </w:r>
            <w:r w:rsidR="00005A72">
              <w:rPr>
                <w:rFonts w:ascii="Soberana Sans Light" w:hAnsi="Soberana Sans Light" w:cs="Soberana Sans Light"/>
                <w:b/>
                <w:bCs/>
                <w:color w:val="333333"/>
                <w:sz w:val="18"/>
                <w:szCs w:val="18"/>
                <w:lang w:val="es-ES" w:eastAsia="es-MX"/>
              </w:rPr>
              <w:t xml:space="preserve">al 30 de septiembre </w:t>
            </w:r>
            <w:r>
              <w:rPr>
                <w:rFonts w:ascii="Soberana Sans Light" w:hAnsi="Soberana Sans Light" w:cs="Soberana Sans Light"/>
                <w:b/>
                <w:bCs/>
                <w:color w:val="333333"/>
                <w:sz w:val="18"/>
                <w:szCs w:val="18"/>
                <w:lang w:val="es-ES" w:eastAsia="es-MX"/>
              </w:rPr>
              <w:t xml:space="preserve">, </w:t>
            </w:r>
            <w:r w:rsidR="00005A72">
              <w:rPr>
                <w:rFonts w:ascii="Soberana Sans Light" w:hAnsi="Soberana Sans Light" w:cs="Soberana Sans Light"/>
                <w:b/>
                <w:bCs/>
                <w:color w:val="333333"/>
                <w:sz w:val="18"/>
                <w:szCs w:val="18"/>
                <w:lang w:val="es-ES" w:eastAsia="es-MX"/>
              </w:rPr>
              <w:t>dando un total de $ 1,693,591.01</w:t>
            </w:r>
            <w:r>
              <w:rPr>
                <w:rFonts w:ascii="Soberana Sans Light" w:hAnsi="Soberana Sans Light" w:cs="Soberana Sans Light"/>
                <w:b/>
                <w:bCs/>
                <w:color w:val="333333"/>
                <w:sz w:val="18"/>
                <w:szCs w:val="18"/>
                <w:lang w:val="es-ES" w:eastAsia="es-MX"/>
              </w:rPr>
              <w:t xml:space="preserve">.. </w:t>
            </w:r>
            <w:r>
              <w:rPr>
                <w:rFonts w:ascii="Times New Roman" w:hAnsi="Times New Roman"/>
                <w:sz w:val="24"/>
                <w:szCs w:val="24"/>
                <w:lang w:val="es-ES" w:eastAsia="es-MX"/>
              </w:rPr>
              <w:t xml:space="preserve"> </w:t>
            </w:r>
            <w:r>
              <w:rPr>
                <w:rFonts w:ascii="Soberana Sans Light" w:hAnsi="Soberana Sans Light" w:cs="Soberana Sans Light"/>
                <w:b/>
                <w:bCs/>
                <w:color w:val="333333"/>
                <w:sz w:val="18"/>
                <w:szCs w:val="18"/>
                <w:lang w:val="es-ES" w:eastAsia="es-MX"/>
              </w:rPr>
              <w:t xml:space="preserve">2.1.1.6 Activos Intangibles. </w:t>
            </w:r>
            <w:r>
              <w:rPr>
                <w:rFonts w:ascii="Soberana Sans Light" w:hAnsi="Soberana Sans Light" w:cs="Soberana Sans Light"/>
                <w:color w:val="333333"/>
                <w:sz w:val="18"/>
                <w:szCs w:val="18"/>
                <w:lang w:val="es-ES" w:eastAsia="es-MX"/>
              </w:rPr>
              <w:t xml:space="preserve">  Por lo que respecta a los activos intangibles, su saldo se presenta en el mismo sentido que los rubros anteriores, es decir a su costo de adquisición; el saldo al 31 de diciembre de 2017, se conforma de la siguiente manera:   </w:t>
            </w:r>
            <w:r>
              <w:rPr>
                <w:rFonts w:ascii="Soberana Sans Light" w:hAnsi="Soberana Sans Light" w:cs="Soberana Sans Light"/>
                <w:b/>
                <w:bCs/>
                <w:color w:val="333333"/>
                <w:sz w:val="18"/>
                <w:szCs w:val="18"/>
                <w:lang w:val="es-ES" w:eastAsia="es-MX"/>
              </w:rPr>
              <w:t xml:space="preserve">Descripción Saldo  </w:t>
            </w:r>
            <w:r>
              <w:rPr>
                <w:rFonts w:ascii="Times New Roman" w:hAnsi="Times New Roman"/>
                <w:sz w:val="24"/>
                <w:szCs w:val="24"/>
                <w:lang w:val="es-ES" w:eastAsia="es-MX"/>
              </w:rPr>
              <w:t xml:space="preserve"> </w:t>
            </w:r>
            <w:r>
              <w:rPr>
                <w:rFonts w:ascii="Arial" w:hAnsi="Arial" w:cs="Arial"/>
                <w:color w:val="333333"/>
                <w:sz w:val="18"/>
                <w:szCs w:val="18"/>
                <w:lang w:val="es-ES" w:eastAsia="es-MX"/>
              </w:rPr>
              <w:t xml:space="preserve">- </w:t>
            </w:r>
            <w:r>
              <w:rPr>
                <w:rFonts w:ascii="Soberana Sans Light" w:hAnsi="Soberana Sans Light" w:cs="Soberana Sans Light"/>
                <w:color w:val="333333"/>
                <w:sz w:val="18"/>
                <w:szCs w:val="18"/>
                <w:lang w:val="es-ES" w:eastAsia="es-MX"/>
              </w:rPr>
              <w:t xml:space="preserve">Software 0.00 </w:t>
            </w:r>
            <w:r>
              <w:rPr>
                <w:rFonts w:ascii="Times New Roman" w:hAnsi="Times New Roman"/>
                <w:sz w:val="24"/>
                <w:szCs w:val="24"/>
                <w:lang w:val="es-ES" w:eastAsia="es-MX"/>
              </w:rPr>
              <w:t xml:space="preserve"> </w:t>
            </w:r>
            <w:r>
              <w:rPr>
                <w:rFonts w:ascii="Soberana Sans Light" w:hAnsi="Soberana Sans Light" w:cs="Soberana Sans Light"/>
                <w:b/>
                <w:bCs/>
                <w:color w:val="333333"/>
                <w:sz w:val="18"/>
                <w:szCs w:val="18"/>
                <w:lang w:val="es-ES" w:eastAsia="es-MX"/>
              </w:rPr>
              <w:t xml:space="preserve">Total 0.00 </w:t>
            </w:r>
            <w:r>
              <w:rPr>
                <w:rFonts w:ascii="Times New Roman" w:hAnsi="Times New Roman"/>
                <w:sz w:val="24"/>
                <w:szCs w:val="24"/>
                <w:lang w:val="es-ES" w:eastAsia="es-MX"/>
              </w:rPr>
              <w:t xml:space="preserve"> </w:t>
            </w:r>
            <w:r>
              <w:rPr>
                <w:rFonts w:ascii="Soberana Sans Light" w:hAnsi="Soberana Sans Light" w:cs="Soberana Sans Light"/>
                <w:b/>
                <w:bCs/>
                <w:color w:val="333333"/>
                <w:sz w:val="18"/>
                <w:szCs w:val="18"/>
                <w:lang w:val="es-ES" w:eastAsia="es-MX"/>
              </w:rPr>
              <w:t xml:space="preserve">2.1.1.7 Inventario de Bienes Muebles e Inmuebles. </w:t>
            </w:r>
            <w:r>
              <w:rPr>
                <w:rFonts w:ascii="Soberana Sans Light" w:hAnsi="Soberana Sans Light" w:cs="Soberana Sans Light"/>
                <w:color w:val="333333"/>
                <w:sz w:val="18"/>
                <w:szCs w:val="18"/>
                <w:lang w:val="es-ES" w:eastAsia="es-MX"/>
              </w:rPr>
              <w:t xml:space="preserve">  Con fecha 8 de agosto de 2013 se publicó en el Diario Oficial de la Federación el “Acuerdo por el que se determina la norma de información financiera para precisar los alcances del Acuerdo 1 aprobado por el Consejo Nacional de Armonización Contable, en reunión del 3 de mayo de 2013 y publicado el 16 de mayo de 2013”, en el cual se especifica que en lo que corresponde a realizar los registros contables con base en las Reglas de Registro y Valoración del Patrimonio, el inventario físico de los bienes muebles e </w:t>
            </w:r>
            <w:r>
              <w:rPr>
                <w:rFonts w:ascii="Soberana Sans Light" w:hAnsi="Soberana Sans Light" w:cs="Soberana Sans Light"/>
                <w:color w:val="333333"/>
                <w:sz w:val="18"/>
                <w:szCs w:val="18"/>
                <w:lang w:val="es-ES" w:eastAsia="es-MX"/>
              </w:rPr>
              <w:lastRenderedPageBreak/>
              <w:t xml:space="preserve">inmuebles deberá estar integrado, valuado y debidamente conciliado con el registro contable a más tardar el 31 de diciembre de 2014.   Al respecto, cabe señalar que, el inventario de los bienes muebles e inmuebles que componen el patrimonio del DIF Sistema para el Desarrollo Integral de la Familia del Municipio de Tepatitlán de Morelos, Jalisco, se encuentra en proceso de integración y valuación, así mismo, una vez que se haya concluido con dicho proceso se procederá a su conciliación contra los registros contables oficiales, para su posterior publicación en la página de Internet del DIF Sistema para el Desarrollo Integral de la Familia del Municipio de Tepatitlán de Morelos, Jalisco, en cumplimiento a lo establecido en el artículo 27 de la Ley General de Contabilidad Gubernamental.  </w:t>
            </w:r>
            <w:r>
              <w:rPr>
                <w:rFonts w:ascii="Soberana Sans Light" w:hAnsi="Soberana Sans Light" w:cs="Soberana Sans Light"/>
                <w:b/>
                <w:bCs/>
                <w:color w:val="333333"/>
                <w:sz w:val="18"/>
                <w:szCs w:val="18"/>
                <w:lang w:val="es-ES" w:eastAsia="es-MX"/>
              </w:rPr>
              <w:t xml:space="preserve">    2.1.2 Pasivo. 2.1.2.1 Cuentas por pagar. </w:t>
            </w:r>
            <w:r>
              <w:rPr>
                <w:rFonts w:ascii="Soberana Sans Light" w:hAnsi="Soberana Sans Light" w:cs="Soberana Sans Light"/>
                <w:color w:val="333333"/>
                <w:sz w:val="18"/>
                <w:szCs w:val="18"/>
                <w:lang w:val="es-ES" w:eastAsia="es-MX"/>
              </w:rPr>
              <w:t xml:space="preserve">  Respecto de las obligaciones a cargo del DIF Sistema para el Desarrollo Integral de la Familia del Municipio de Tepatitlán de Morelos, Jalisco, se enlistan los pasivos circulantes que se tienen registrados al cierre del periodo que se informa, agrupadas por cuenta de mayor y antigüedad del saldo, tal y como se muestra a continuación: </w:t>
            </w:r>
            <w:r>
              <w:rPr>
                <w:rFonts w:ascii="Soberana Sans Light" w:hAnsi="Soberana Sans Light" w:cs="Soberana Sans Light"/>
                <w:b/>
                <w:bCs/>
                <w:color w:val="333333"/>
                <w:sz w:val="18"/>
                <w:szCs w:val="18"/>
                <w:lang w:val="es-ES" w:eastAsia="es-MX"/>
              </w:rPr>
              <w:t xml:space="preserve">Descripción Antigüedad del saldo Total </w:t>
            </w:r>
            <w:r>
              <w:rPr>
                <w:rFonts w:ascii="Times New Roman" w:hAnsi="Times New Roman"/>
                <w:sz w:val="24"/>
                <w:szCs w:val="24"/>
                <w:lang w:val="es-ES" w:eastAsia="es-MX"/>
              </w:rPr>
              <w:t xml:space="preserve"> </w:t>
            </w:r>
            <w:r>
              <w:rPr>
                <w:rFonts w:ascii="Soberana Sans Light" w:hAnsi="Soberana Sans Light" w:cs="Soberana Sans Light"/>
                <w:color w:val="333333"/>
                <w:sz w:val="18"/>
                <w:szCs w:val="18"/>
                <w:lang w:val="es-ES" w:eastAsia="es-MX"/>
              </w:rPr>
              <w:t xml:space="preserve"> </w:t>
            </w:r>
            <w:r>
              <w:rPr>
                <w:rFonts w:ascii="Soberana Sans Light" w:hAnsi="Soberana Sans Light" w:cs="Soberana Sans Light"/>
                <w:b/>
                <w:bCs/>
                <w:color w:val="333333"/>
                <w:sz w:val="18"/>
                <w:szCs w:val="18"/>
                <w:lang w:val="es-ES" w:eastAsia="es-MX"/>
              </w:rPr>
              <w:t xml:space="preserve">90 días 180 días Menor/Igual  365 días Mayor a   365 días </w:t>
            </w:r>
            <w:r>
              <w:rPr>
                <w:rFonts w:ascii="Soberana Sans Light" w:hAnsi="Soberana Sans Light" w:cs="Soberana Sans Light"/>
                <w:color w:val="333333"/>
                <w:sz w:val="18"/>
                <w:szCs w:val="18"/>
                <w:lang w:val="es-ES" w:eastAsia="es-MX"/>
              </w:rPr>
              <w:t xml:space="preserve"> </w:t>
            </w:r>
            <w:r>
              <w:rPr>
                <w:rFonts w:ascii="Times New Roman" w:hAnsi="Times New Roman"/>
                <w:sz w:val="24"/>
                <w:szCs w:val="24"/>
                <w:lang w:val="es-ES" w:eastAsia="es-MX"/>
              </w:rPr>
              <w:t xml:space="preserve"> </w:t>
            </w:r>
            <w:r>
              <w:rPr>
                <w:rFonts w:ascii="Arial" w:hAnsi="Arial" w:cs="Arial"/>
                <w:color w:val="333333"/>
                <w:sz w:val="18"/>
                <w:szCs w:val="18"/>
                <w:lang w:val="es-ES" w:eastAsia="es-MX"/>
              </w:rPr>
              <w:t xml:space="preserve">- </w:t>
            </w:r>
            <w:r>
              <w:rPr>
                <w:rFonts w:ascii="Soberana Sans Light" w:hAnsi="Soberana Sans Light" w:cs="Soberana Sans Light"/>
                <w:color w:val="333333"/>
                <w:sz w:val="18"/>
                <w:szCs w:val="18"/>
                <w:lang w:val="es-ES" w:eastAsia="es-MX"/>
              </w:rPr>
              <w:t xml:space="preserve">Servicios personales 8,260.26 </w:t>
            </w:r>
            <w:r>
              <w:rPr>
                <w:rFonts w:ascii="Times New Roman" w:hAnsi="Times New Roman"/>
                <w:sz w:val="24"/>
                <w:szCs w:val="24"/>
                <w:lang w:val="es-ES" w:eastAsia="es-MX"/>
              </w:rPr>
              <w:t xml:space="preserve"> </w:t>
            </w:r>
            <w:r>
              <w:rPr>
                <w:rFonts w:ascii="Arial" w:hAnsi="Arial" w:cs="Arial"/>
                <w:color w:val="333333"/>
                <w:sz w:val="18"/>
                <w:szCs w:val="18"/>
                <w:lang w:val="es-ES" w:eastAsia="es-MX"/>
              </w:rPr>
              <w:t xml:space="preserve">- </w:t>
            </w:r>
            <w:r w:rsidR="000B1D8E">
              <w:rPr>
                <w:rFonts w:ascii="Soberana Sans Light" w:hAnsi="Soberana Sans Light" w:cs="Soberana Sans Light"/>
                <w:color w:val="333333"/>
                <w:sz w:val="18"/>
                <w:szCs w:val="18"/>
                <w:lang w:val="es-ES" w:eastAsia="es-MX"/>
              </w:rPr>
              <w:t>Proveedores -.00 0.00</w:t>
            </w:r>
            <w:r>
              <w:rPr>
                <w:rFonts w:ascii="Times New Roman" w:hAnsi="Times New Roman"/>
                <w:sz w:val="24"/>
                <w:szCs w:val="24"/>
                <w:lang w:val="es-ES" w:eastAsia="es-MX"/>
              </w:rPr>
              <w:t xml:space="preserve"> </w:t>
            </w:r>
            <w:r>
              <w:rPr>
                <w:rFonts w:ascii="Arial" w:hAnsi="Arial" w:cs="Arial"/>
                <w:color w:val="333333"/>
                <w:sz w:val="18"/>
                <w:szCs w:val="18"/>
                <w:lang w:val="es-ES" w:eastAsia="es-MX"/>
              </w:rPr>
              <w:t xml:space="preserve">- </w:t>
            </w:r>
            <w:r>
              <w:rPr>
                <w:rFonts w:ascii="Soberana Sans Light" w:hAnsi="Soberana Sans Light" w:cs="Soberana Sans Light"/>
                <w:color w:val="333333"/>
                <w:sz w:val="18"/>
                <w:szCs w:val="18"/>
                <w:lang w:val="es-ES" w:eastAsia="es-MX"/>
              </w:rPr>
              <w:t>Retenciones y contribuciones 55,829.17</w:t>
            </w:r>
            <w:r w:rsidR="00062E78">
              <w:rPr>
                <w:rFonts w:ascii="Soberana Sans Light" w:hAnsi="Soberana Sans Light" w:cs="Soberana Sans Light"/>
                <w:color w:val="333333"/>
                <w:sz w:val="18"/>
                <w:szCs w:val="18"/>
                <w:lang w:val="es-ES" w:eastAsia="es-MX"/>
              </w:rPr>
              <w:t>.</w:t>
            </w:r>
          </w:p>
          <w:p w:rsidR="00AB199D" w:rsidRDefault="00AB199D" w:rsidP="00AB199D">
            <w:pPr>
              <w:autoSpaceDE w:val="0"/>
              <w:autoSpaceDN w:val="0"/>
              <w:adjustRightInd w:val="0"/>
              <w:spacing w:after="0" w:line="240" w:lineRule="auto"/>
              <w:rPr>
                <w:rFonts w:ascii="Arial" w:hAnsi="Arial" w:cs="Arial"/>
                <w:sz w:val="23"/>
                <w:szCs w:val="23"/>
                <w:lang w:eastAsia="es-MX"/>
              </w:rPr>
            </w:pPr>
          </w:p>
          <w:p w:rsidR="00AB199D" w:rsidRDefault="00AB199D" w:rsidP="00AB199D">
            <w:pPr>
              <w:autoSpaceDE w:val="0"/>
              <w:autoSpaceDN w:val="0"/>
              <w:adjustRightInd w:val="0"/>
              <w:spacing w:after="0" w:line="240" w:lineRule="auto"/>
              <w:rPr>
                <w:rFonts w:ascii="Arial" w:hAnsi="Arial" w:cs="Arial"/>
                <w:sz w:val="23"/>
                <w:szCs w:val="23"/>
                <w:lang w:eastAsia="es-MX"/>
              </w:rPr>
            </w:pPr>
          </w:p>
          <w:p w:rsidR="00A45E83" w:rsidRPr="007326BD" w:rsidRDefault="00A45E83" w:rsidP="00A45E83">
            <w:pPr>
              <w:spacing w:after="0" w:line="240" w:lineRule="auto"/>
              <w:jc w:val="both"/>
              <w:rPr>
                <w:rFonts w:ascii="Arial" w:hAnsi="Arial" w:cs="Arial"/>
                <w:sz w:val="24"/>
                <w:szCs w:val="24"/>
              </w:rPr>
            </w:pPr>
          </w:p>
        </w:tc>
      </w:tr>
    </w:tbl>
    <w:p w:rsidR="00A45E83" w:rsidRDefault="00A45E83">
      <w:pPr>
        <w:rPr>
          <w:rFonts w:ascii="Arial" w:hAnsi="Arial" w:cs="Arial"/>
        </w:rPr>
      </w:pPr>
    </w:p>
    <w:p w:rsidR="00B157EC" w:rsidRDefault="00B157EC">
      <w:pPr>
        <w:rPr>
          <w:rFonts w:ascii="Arial" w:hAnsi="Arial" w:cs="Arial"/>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794"/>
        <w:gridCol w:w="1276"/>
        <w:gridCol w:w="3908"/>
      </w:tblGrid>
      <w:tr w:rsidR="00425DF0" w:rsidRPr="001F0913" w:rsidTr="00721735">
        <w:tc>
          <w:tcPr>
            <w:tcW w:w="3794" w:type="dxa"/>
            <w:shd w:val="clear" w:color="auto" w:fill="auto"/>
          </w:tcPr>
          <w:p w:rsidR="00425DF0" w:rsidRPr="001F0913" w:rsidRDefault="00F34A9F" w:rsidP="00B157EC">
            <w:pPr>
              <w:rPr>
                <w:rFonts w:ascii="Arial" w:hAnsi="Arial" w:cs="Arial"/>
                <w:sz w:val="20"/>
              </w:rPr>
            </w:pPr>
            <w:r>
              <w:rPr>
                <w:rFonts w:ascii="Arial" w:hAnsi="Arial" w:cs="Arial"/>
                <w:noProof/>
                <w:lang w:eastAsia="es-MX"/>
              </w:rPr>
              <w:pict>
                <v:shapetype id="_x0000_t32" coordsize="21600,21600" o:spt="32" o:oned="t" path="m,l21600,21600e" filled="f">
                  <v:path arrowok="t" fillok="f" o:connecttype="none"/>
                  <o:lock v:ext="edit" shapetype="t"/>
                </v:shapetype>
                <v:shape id="_x0000_s1026" type="#_x0000_t32" style="position:absolute;margin-left:-1.8pt;margin-top:20.45pt;width:180.75pt;height:0;z-index:251657216" o:connectortype="straight"/>
              </w:pict>
            </w:r>
          </w:p>
        </w:tc>
        <w:tc>
          <w:tcPr>
            <w:tcW w:w="1276" w:type="dxa"/>
            <w:shd w:val="clear" w:color="auto" w:fill="auto"/>
          </w:tcPr>
          <w:p w:rsidR="00425DF0" w:rsidRPr="001F0913" w:rsidRDefault="00425DF0" w:rsidP="00B157EC">
            <w:pPr>
              <w:rPr>
                <w:rFonts w:ascii="Arial" w:hAnsi="Arial" w:cs="Arial"/>
                <w:sz w:val="20"/>
              </w:rPr>
            </w:pPr>
          </w:p>
        </w:tc>
        <w:tc>
          <w:tcPr>
            <w:tcW w:w="3908" w:type="dxa"/>
            <w:shd w:val="clear" w:color="auto" w:fill="auto"/>
          </w:tcPr>
          <w:p w:rsidR="00425DF0" w:rsidRPr="001F0913" w:rsidRDefault="00F34A9F" w:rsidP="00B157EC">
            <w:pPr>
              <w:rPr>
                <w:rFonts w:ascii="Arial" w:hAnsi="Arial" w:cs="Arial"/>
                <w:sz w:val="20"/>
              </w:rPr>
            </w:pPr>
            <w:r>
              <w:rPr>
                <w:rFonts w:ascii="Arial" w:hAnsi="Arial" w:cs="Arial"/>
                <w:noProof/>
                <w:lang w:eastAsia="es-MX"/>
              </w:rPr>
              <w:pict>
                <v:shape id="_x0000_s1027" type="#_x0000_t32" style="position:absolute;margin-left:1.2pt;margin-top:20.45pt;width:180.75pt;height:0;z-index:251658240;mso-position-horizontal-relative:text;mso-position-vertical-relative:text" o:connectortype="straight"/>
              </w:pict>
            </w:r>
          </w:p>
        </w:tc>
      </w:tr>
      <w:tr w:rsidR="00425DF0" w:rsidRPr="001F0913" w:rsidTr="00721735">
        <w:tc>
          <w:tcPr>
            <w:tcW w:w="3794" w:type="dxa"/>
            <w:shd w:val="clear" w:color="auto" w:fill="auto"/>
          </w:tcPr>
          <w:p w:rsidR="00425DF0" w:rsidRPr="001F0913" w:rsidRDefault="00AB199D" w:rsidP="00B157EC">
            <w:pPr>
              <w:rPr>
                <w:rFonts w:ascii="Arial" w:hAnsi="Arial" w:cs="Arial"/>
                <w:sz w:val="20"/>
              </w:rPr>
            </w:pPr>
            <w:bookmarkStart w:id="4" w:name="firma1"/>
            <w:bookmarkEnd w:id="4"/>
            <w:r>
              <w:rPr>
                <w:rFonts w:ascii="Arial" w:hAnsi="Arial" w:cs="Arial"/>
                <w:sz w:val="20"/>
              </w:rPr>
              <w:t xml:space="preserve">NORMA PATRICIA VENEGAS PLASCENCIA </w:t>
            </w:r>
          </w:p>
          <w:p w:rsidR="00425DF0" w:rsidRPr="001F0913" w:rsidRDefault="00AB199D" w:rsidP="00B157EC">
            <w:pPr>
              <w:rPr>
                <w:rFonts w:ascii="Arial" w:hAnsi="Arial" w:cs="Arial"/>
                <w:sz w:val="20"/>
              </w:rPr>
            </w:pPr>
            <w:bookmarkStart w:id="5" w:name="Cargo1"/>
            <w:bookmarkEnd w:id="5"/>
            <w:r>
              <w:rPr>
                <w:rFonts w:ascii="Arial" w:hAnsi="Arial" w:cs="Arial"/>
                <w:sz w:val="20"/>
              </w:rPr>
              <w:t>Directora General</w:t>
            </w:r>
          </w:p>
        </w:tc>
        <w:tc>
          <w:tcPr>
            <w:tcW w:w="1276" w:type="dxa"/>
            <w:shd w:val="clear" w:color="auto" w:fill="auto"/>
          </w:tcPr>
          <w:p w:rsidR="00425DF0" w:rsidRPr="001F0913" w:rsidRDefault="00425DF0" w:rsidP="00B157EC">
            <w:pPr>
              <w:rPr>
                <w:rFonts w:ascii="Arial" w:hAnsi="Arial" w:cs="Arial"/>
                <w:sz w:val="20"/>
              </w:rPr>
            </w:pPr>
          </w:p>
        </w:tc>
        <w:tc>
          <w:tcPr>
            <w:tcW w:w="3908" w:type="dxa"/>
            <w:shd w:val="clear" w:color="auto" w:fill="auto"/>
          </w:tcPr>
          <w:p w:rsidR="00425DF0" w:rsidRPr="001F0913" w:rsidRDefault="00335CAA" w:rsidP="00B157EC">
            <w:pPr>
              <w:rPr>
                <w:rFonts w:ascii="Arial" w:hAnsi="Arial" w:cs="Arial"/>
                <w:sz w:val="20"/>
              </w:rPr>
            </w:pPr>
            <w:bookmarkStart w:id="6" w:name="firma2"/>
            <w:bookmarkEnd w:id="6"/>
            <w:r>
              <w:rPr>
                <w:rFonts w:ascii="Arial" w:hAnsi="Arial" w:cs="Arial"/>
                <w:sz w:val="20"/>
              </w:rPr>
              <w:t>ARAIS RIVAS MELANO</w:t>
            </w:r>
          </w:p>
          <w:p w:rsidR="001F0913" w:rsidRPr="001F0913" w:rsidRDefault="00AB199D" w:rsidP="00B157EC">
            <w:pPr>
              <w:rPr>
                <w:rFonts w:ascii="Arial" w:hAnsi="Arial" w:cs="Arial"/>
                <w:sz w:val="20"/>
              </w:rPr>
            </w:pPr>
            <w:bookmarkStart w:id="7" w:name="Cargo2"/>
            <w:bookmarkEnd w:id="7"/>
            <w:r>
              <w:rPr>
                <w:rFonts w:ascii="Arial" w:hAnsi="Arial" w:cs="Arial"/>
                <w:sz w:val="20"/>
              </w:rPr>
              <w:t>Administradora</w:t>
            </w:r>
          </w:p>
        </w:tc>
      </w:tr>
    </w:tbl>
    <w:p w:rsidR="00536F66" w:rsidRDefault="00536F66" w:rsidP="00B157EC">
      <w:pPr>
        <w:rPr>
          <w:rFonts w:ascii="Arial" w:hAnsi="Arial" w:cs="Arial"/>
          <w:sz w:val="20"/>
        </w:rPr>
      </w:pPr>
    </w:p>
    <w:p w:rsidR="00425DF0" w:rsidRDefault="00425DF0" w:rsidP="00B157EC">
      <w:pPr>
        <w:rPr>
          <w:rFonts w:ascii="Arial" w:hAnsi="Arial" w:cs="Arial"/>
          <w:sz w:val="20"/>
        </w:rPr>
      </w:pPr>
      <w:bookmarkStart w:id="8" w:name="codigo"/>
      <w:bookmarkEnd w:id="8"/>
    </w:p>
    <w:p w:rsidR="00B157EC" w:rsidRPr="00B157EC" w:rsidRDefault="00B157EC" w:rsidP="00B157EC">
      <w:pPr>
        <w:rPr>
          <w:rFonts w:ascii="Arial" w:hAnsi="Arial" w:cs="Arial"/>
          <w:sz w:val="24"/>
          <w:szCs w:val="24"/>
        </w:rPr>
      </w:pPr>
      <w:r w:rsidRPr="00B157EC">
        <w:rPr>
          <w:rFonts w:ascii="Arial" w:hAnsi="Arial" w:cs="Arial"/>
          <w:sz w:val="24"/>
          <w:szCs w:val="24"/>
        </w:rPr>
        <w:t>Bajo protesta de decir verdad declaramos que los Estados Financieros y sus Notas son razonablemente correctos y responsabilidad del emisor.</w:t>
      </w:r>
    </w:p>
    <w:p w:rsidR="00B157EC" w:rsidRDefault="00B157EC">
      <w:pPr>
        <w:rPr>
          <w:rFonts w:ascii="Arial" w:hAnsi="Arial" w:cs="Arial"/>
        </w:rPr>
      </w:pPr>
    </w:p>
    <w:p w:rsidR="00B157EC" w:rsidRPr="007326BD" w:rsidRDefault="00B157EC">
      <w:pPr>
        <w:rPr>
          <w:rFonts w:ascii="Arial" w:hAnsi="Arial" w:cs="Arial"/>
        </w:rPr>
      </w:pPr>
    </w:p>
    <w:sectPr w:rsidR="00B157EC" w:rsidRPr="007326BD" w:rsidSect="00E43250">
      <w:pgSz w:w="12240" w:h="15840" w:code="1"/>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oberana Sans Light">
    <w:panose1 w:val="00000000000000000000"/>
    <w:charset w:val="00"/>
    <w:family w:val="moder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5E83"/>
    <w:rsid w:val="00005A72"/>
    <w:rsid w:val="00062E78"/>
    <w:rsid w:val="000B1D8E"/>
    <w:rsid w:val="00150A8F"/>
    <w:rsid w:val="001F0913"/>
    <w:rsid w:val="001F5C2A"/>
    <w:rsid w:val="00237BAC"/>
    <w:rsid w:val="002E6C50"/>
    <w:rsid w:val="00301134"/>
    <w:rsid w:val="00335CAA"/>
    <w:rsid w:val="003F7AB9"/>
    <w:rsid w:val="0040191D"/>
    <w:rsid w:val="00425DF0"/>
    <w:rsid w:val="00523D61"/>
    <w:rsid w:val="00536F66"/>
    <w:rsid w:val="00721735"/>
    <w:rsid w:val="007320B4"/>
    <w:rsid w:val="007326BD"/>
    <w:rsid w:val="007915B4"/>
    <w:rsid w:val="00806603"/>
    <w:rsid w:val="008F6437"/>
    <w:rsid w:val="00A45E83"/>
    <w:rsid w:val="00AB199D"/>
    <w:rsid w:val="00B157EC"/>
    <w:rsid w:val="00CD584F"/>
    <w:rsid w:val="00D2796E"/>
    <w:rsid w:val="00D64D9B"/>
    <w:rsid w:val="00E224F1"/>
    <w:rsid w:val="00E43250"/>
    <w:rsid w:val="00F34A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3" type="connector" idref="#_x0000_s1026"/>
        <o:r id="V:Rule4" type="connector" idref="#_x0000_s102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603"/>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A45E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0B1D8E"/>
    <w:pPr>
      <w:spacing w:after="0" w:line="240" w:lineRule="auto"/>
    </w:pPr>
    <w:rPr>
      <w:rFonts w:ascii="Tahoma" w:hAnsi="Tahoma"/>
      <w:sz w:val="16"/>
      <w:szCs w:val="16"/>
    </w:rPr>
  </w:style>
  <w:style w:type="character" w:customStyle="1" w:styleId="TextodegloboCar">
    <w:name w:val="Texto de globo Car"/>
    <w:link w:val="Textodeglobo"/>
    <w:uiPriority w:val="99"/>
    <w:semiHidden/>
    <w:rsid w:val="000B1D8E"/>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8</Pages>
  <Words>4654</Words>
  <Characters>25598</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ASEJ</Company>
  <LinksUpToDate>false</LinksUpToDate>
  <CharactersWithSpaces>30192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ASEJ;Ramiro Ochoa Cisneros</dc:creator>
  <cp:lastModifiedBy>Usuario</cp:lastModifiedBy>
  <cp:revision>5</cp:revision>
  <cp:lastPrinted>2018-11-01T20:49:00Z</cp:lastPrinted>
  <dcterms:created xsi:type="dcterms:W3CDTF">2018-10-31T16:09:00Z</dcterms:created>
  <dcterms:modified xsi:type="dcterms:W3CDTF">2018-11-01T20:49:00Z</dcterms:modified>
</cp:coreProperties>
</file>